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1DACD" w14:textId="2D1D1A86" w:rsidR="008619A3" w:rsidRDefault="008465A2" w:rsidP="003D1236">
      <w:pPr>
        <w:pStyle w:val="Sinespaciado"/>
        <w:spacing w:line="360" w:lineRule="auto"/>
        <w:jc w:val="center"/>
        <w:rPr>
          <w:rFonts w:ascii="Verdana" w:hAnsi="Verdana"/>
          <w:b/>
          <w:bCs/>
          <w:sz w:val="20"/>
          <w:szCs w:val="20"/>
        </w:rPr>
      </w:pPr>
      <w:r>
        <w:rPr>
          <w:rFonts w:ascii="Verdana" w:hAnsi="Verdana"/>
          <w:b/>
          <w:bCs/>
          <w:sz w:val="20"/>
          <w:szCs w:val="20"/>
        </w:rPr>
        <w:t>Género y textos escolares: e</w:t>
      </w:r>
      <w:r w:rsidR="008619A3">
        <w:rPr>
          <w:rFonts w:ascii="Verdana" w:hAnsi="Verdana"/>
          <w:b/>
          <w:bCs/>
          <w:sz w:val="20"/>
          <w:szCs w:val="20"/>
        </w:rPr>
        <w:t xml:space="preserve">l caso de las mujeres de la Antigüedad Clásica </w:t>
      </w:r>
    </w:p>
    <w:p w14:paraId="2698499B" w14:textId="5482B205" w:rsidR="008619A3" w:rsidRPr="008619A3" w:rsidRDefault="008619A3" w:rsidP="003D1236">
      <w:pPr>
        <w:pStyle w:val="Sinespaciado"/>
        <w:spacing w:line="360" w:lineRule="auto"/>
        <w:jc w:val="center"/>
        <w:rPr>
          <w:rFonts w:ascii="Verdana" w:hAnsi="Verdana"/>
          <w:b/>
          <w:bCs/>
          <w:sz w:val="20"/>
          <w:szCs w:val="20"/>
          <w:lang w:val="en-US"/>
        </w:rPr>
      </w:pPr>
      <w:r w:rsidRPr="008619A3">
        <w:rPr>
          <w:rFonts w:ascii="Verdana" w:hAnsi="Verdana"/>
          <w:b/>
          <w:bCs/>
          <w:sz w:val="20"/>
          <w:szCs w:val="20"/>
          <w:lang w:val="en-US"/>
        </w:rPr>
        <w:t>Gender and</w:t>
      </w:r>
      <w:r w:rsidR="008465A2">
        <w:rPr>
          <w:rFonts w:ascii="Verdana" w:hAnsi="Verdana"/>
          <w:b/>
          <w:bCs/>
          <w:sz w:val="20"/>
          <w:szCs w:val="20"/>
          <w:lang w:val="en-US"/>
        </w:rPr>
        <w:t xml:space="preserve"> textbooks: t</w:t>
      </w:r>
      <w:r>
        <w:rPr>
          <w:rFonts w:ascii="Verdana" w:hAnsi="Verdana"/>
          <w:b/>
          <w:bCs/>
          <w:sz w:val="20"/>
          <w:szCs w:val="20"/>
          <w:lang w:val="en-US"/>
        </w:rPr>
        <w:t>he case of w</w:t>
      </w:r>
      <w:r w:rsidR="005A2DFA">
        <w:rPr>
          <w:rFonts w:ascii="Verdana" w:hAnsi="Verdana"/>
          <w:b/>
          <w:bCs/>
          <w:sz w:val="20"/>
          <w:szCs w:val="20"/>
          <w:lang w:val="en-US"/>
        </w:rPr>
        <w:t>omen of the</w:t>
      </w:r>
      <w:r w:rsidRPr="008619A3">
        <w:rPr>
          <w:rFonts w:ascii="Verdana" w:hAnsi="Verdana"/>
          <w:b/>
          <w:bCs/>
          <w:sz w:val="20"/>
          <w:szCs w:val="20"/>
          <w:lang w:val="en-US"/>
        </w:rPr>
        <w:t xml:space="preserve"> Classical Antiquity</w:t>
      </w:r>
    </w:p>
    <w:p w14:paraId="735A9508" w14:textId="47A48DCD" w:rsidR="000C250D" w:rsidRPr="00BF3F34" w:rsidRDefault="000C250D" w:rsidP="003D1236">
      <w:pPr>
        <w:pStyle w:val="Sinespaciado"/>
        <w:spacing w:line="360" w:lineRule="auto"/>
        <w:jc w:val="center"/>
        <w:rPr>
          <w:rFonts w:ascii="Verdana" w:hAnsi="Verdana"/>
          <w:b/>
          <w:iCs/>
          <w:sz w:val="20"/>
          <w:szCs w:val="20"/>
          <w:lang w:val="en-US"/>
        </w:rPr>
      </w:pPr>
    </w:p>
    <w:p w14:paraId="2E9EB550" w14:textId="656D0BDA" w:rsidR="00374C9F" w:rsidRPr="008619A3" w:rsidRDefault="00374C9F" w:rsidP="008619A3">
      <w:pPr>
        <w:pStyle w:val="Sinespaciado"/>
        <w:jc w:val="center"/>
        <w:rPr>
          <w:rFonts w:ascii="Verdana" w:hAnsi="Verdana"/>
          <w:b/>
          <w:iCs/>
          <w:sz w:val="20"/>
          <w:szCs w:val="20"/>
        </w:rPr>
      </w:pPr>
      <w:r w:rsidRPr="008619A3">
        <w:rPr>
          <w:rFonts w:ascii="Verdana" w:hAnsi="Verdana"/>
          <w:b/>
          <w:iCs/>
          <w:sz w:val="20"/>
          <w:szCs w:val="20"/>
        </w:rPr>
        <w:t>Humberto Álvarez Sepúlveda</w:t>
      </w:r>
    </w:p>
    <w:p w14:paraId="236C8B61" w14:textId="7645B820" w:rsidR="001F1F4D" w:rsidRPr="008619A3" w:rsidRDefault="001F1F4D" w:rsidP="008619A3">
      <w:pPr>
        <w:pStyle w:val="Sinespaciado"/>
        <w:jc w:val="center"/>
        <w:rPr>
          <w:rFonts w:ascii="Verdana" w:hAnsi="Verdana"/>
          <w:bCs/>
          <w:iCs/>
          <w:sz w:val="20"/>
          <w:szCs w:val="20"/>
        </w:rPr>
      </w:pPr>
      <w:r w:rsidRPr="008619A3">
        <w:rPr>
          <w:rFonts w:ascii="Verdana" w:hAnsi="Verdana"/>
          <w:bCs/>
          <w:iCs/>
          <w:sz w:val="20"/>
          <w:szCs w:val="20"/>
        </w:rPr>
        <w:t>https://orcid.org/0000-0001-5729-3404</w:t>
      </w:r>
    </w:p>
    <w:p w14:paraId="4B17AD4B" w14:textId="111D3B22" w:rsidR="00374C9F" w:rsidRPr="008619A3" w:rsidRDefault="00020E63" w:rsidP="008619A3">
      <w:pPr>
        <w:pStyle w:val="Sinespaciado"/>
        <w:jc w:val="center"/>
        <w:rPr>
          <w:rFonts w:ascii="Verdana" w:hAnsi="Verdana"/>
          <w:sz w:val="20"/>
          <w:szCs w:val="20"/>
        </w:rPr>
      </w:pPr>
      <w:hyperlink r:id="rId8" w:history="1">
        <w:r w:rsidR="00374C9F" w:rsidRPr="008619A3">
          <w:rPr>
            <w:rStyle w:val="Hipervnculo"/>
            <w:rFonts w:ascii="Verdana" w:hAnsi="Verdana" w:cs="Arial"/>
            <w:color w:val="auto"/>
            <w:sz w:val="20"/>
            <w:szCs w:val="20"/>
            <w:u w:val="none"/>
          </w:rPr>
          <w:t>haalvarez@historia.ucsc.cl</w:t>
        </w:r>
      </w:hyperlink>
    </w:p>
    <w:p w14:paraId="395D434E" w14:textId="677FF6E2" w:rsidR="00374C9F" w:rsidRPr="008619A3" w:rsidRDefault="00374C9F" w:rsidP="008619A3">
      <w:pPr>
        <w:pStyle w:val="Sinespaciado"/>
        <w:jc w:val="center"/>
        <w:rPr>
          <w:rFonts w:ascii="Verdana" w:hAnsi="Verdana"/>
          <w:sz w:val="20"/>
          <w:szCs w:val="20"/>
        </w:rPr>
      </w:pPr>
      <w:r w:rsidRPr="008619A3">
        <w:rPr>
          <w:rFonts w:ascii="Verdana" w:hAnsi="Verdana"/>
          <w:sz w:val="20"/>
          <w:szCs w:val="20"/>
        </w:rPr>
        <w:t>Universidad Católica de la Santísima Concepción</w:t>
      </w:r>
      <w:r w:rsidR="001F1F4D" w:rsidRPr="008619A3">
        <w:rPr>
          <w:rFonts w:ascii="Verdana" w:hAnsi="Verdana"/>
          <w:sz w:val="20"/>
          <w:szCs w:val="20"/>
        </w:rPr>
        <w:t>, Chile</w:t>
      </w:r>
    </w:p>
    <w:p w14:paraId="07FE898E" w14:textId="77777777" w:rsidR="00282699" w:rsidRPr="00BC4445" w:rsidRDefault="00282699" w:rsidP="00BC4445"/>
    <w:p w14:paraId="13F3B970" w14:textId="28E596FF" w:rsidR="00F62F53" w:rsidRDefault="006104AF" w:rsidP="00120714">
      <w:pPr>
        <w:pStyle w:val="Sinespaciado"/>
        <w:spacing w:line="360" w:lineRule="auto"/>
        <w:jc w:val="both"/>
        <w:rPr>
          <w:rFonts w:ascii="Verdana" w:hAnsi="Verdana"/>
          <w:sz w:val="20"/>
          <w:szCs w:val="20"/>
        </w:rPr>
      </w:pPr>
      <w:r w:rsidRPr="00566499">
        <w:rPr>
          <w:rFonts w:ascii="Verdana" w:hAnsi="Verdana"/>
          <w:b/>
          <w:bCs/>
          <w:sz w:val="20"/>
          <w:szCs w:val="20"/>
        </w:rPr>
        <w:t>Resumen</w:t>
      </w:r>
      <w:r w:rsidR="00BC668D" w:rsidRPr="00566499">
        <w:rPr>
          <w:rFonts w:ascii="Verdana" w:hAnsi="Verdana"/>
          <w:b/>
          <w:bCs/>
          <w:sz w:val="20"/>
          <w:szCs w:val="20"/>
        </w:rPr>
        <w:t>:</w:t>
      </w:r>
      <w:r w:rsidR="00BC668D" w:rsidRPr="00566499">
        <w:rPr>
          <w:rFonts w:ascii="Verdana" w:hAnsi="Verdana"/>
          <w:sz w:val="20"/>
          <w:szCs w:val="20"/>
        </w:rPr>
        <w:t xml:space="preserve"> </w:t>
      </w:r>
      <w:r w:rsidR="008202A9" w:rsidRPr="00566499">
        <w:rPr>
          <w:rFonts w:ascii="Verdana" w:hAnsi="Verdana"/>
          <w:sz w:val="20"/>
          <w:szCs w:val="20"/>
        </w:rPr>
        <w:t xml:space="preserve">Las unidades de Historia Antigua presentes en los </w:t>
      </w:r>
      <w:r w:rsidR="00566499" w:rsidRPr="00566499">
        <w:rPr>
          <w:rFonts w:ascii="Verdana" w:hAnsi="Verdana"/>
          <w:sz w:val="20"/>
          <w:szCs w:val="20"/>
        </w:rPr>
        <w:t>manuales</w:t>
      </w:r>
      <w:r w:rsidR="008202A9" w:rsidRPr="00566499">
        <w:rPr>
          <w:rFonts w:ascii="Verdana" w:hAnsi="Verdana"/>
          <w:sz w:val="20"/>
          <w:szCs w:val="20"/>
        </w:rPr>
        <w:t xml:space="preserve"> chilenos se caracterizan por exponer una narrativa</w:t>
      </w:r>
      <w:r w:rsidR="005A2DFA">
        <w:rPr>
          <w:rFonts w:ascii="Verdana" w:hAnsi="Verdana"/>
          <w:sz w:val="20"/>
          <w:szCs w:val="20"/>
        </w:rPr>
        <w:t xml:space="preserve"> histórica</w:t>
      </w:r>
      <w:r w:rsidR="008202A9" w:rsidRPr="00566499">
        <w:rPr>
          <w:rFonts w:ascii="Verdana" w:hAnsi="Verdana"/>
          <w:sz w:val="20"/>
          <w:szCs w:val="20"/>
        </w:rPr>
        <w:t xml:space="preserve"> androcéntrica que margina la participación de las mujeres</w:t>
      </w:r>
      <w:r w:rsidR="00912B58" w:rsidRPr="00566499">
        <w:rPr>
          <w:rFonts w:ascii="Verdana" w:hAnsi="Verdana"/>
          <w:sz w:val="20"/>
          <w:szCs w:val="20"/>
        </w:rPr>
        <w:t>, puesto que</w:t>
      </w:r>
      <w:r w:rsidR="008202A9" w:rsidRPr="00566499">
        <w:rPr>
          <w:rFonts w:ascii="Verdana" w:hAnsi="Verdana"/>
          <w:sz w:val="20"/>
          <w:szCs w:val="20"/>
        </w:rPr>
        <w:t xml:space="preserve"> tradicionalmente se han centrado en describir los aportes realizados por los hombres</w:t>
      </w:r>
      <w:r w:rsidR="00FC38FA">
        <w:rPr>
          <w:rFonts w:ascii="Verdana" w:hAnsi="Verdana"/>
          <w:sz w:val="20"/>
          <w:szCs w:val="20"/>
        </w:rPr>
        <w:t xml:space="preserve"> de la élite</w:t>
      </w:r>
      <w:r w:rsidR="008202A9" w:rsidRPr="00566499">
        <w:rPr>
          <w:rFonts w:ascii="Verdana" w:hAnsi="Verdana"/>
          <w:sz w:val="20"/>
          <w:szCs w:val="20"/>
        </w:rPr>
        <w:t xml:space="preserve"> en la cultura grecorromana. Para evidenciar esta problemática, en este artículo s</w:t>
      </w:r>
      <w:r w:rsidR="00E006C5" w:rsidRPr="00566499">
        <w:rPr>
          <w:rFonts w:ascii="Verdana" w:hAnsi="Verdana"/>
          <w:sz w:val="20"/>
          <w:szCs w:val="20"/>
        </w:rPr>
        <w:t xml:space="preserve">e </w:t>
      </w:r>
      <w:r w:rsidR="001963C1" w:rsidRPr="00566499">
        <w:rPr>
          <w:rFonts w:ascii="Verdana" w:hAnsi="Verdana"/>
          <w:sz w:val="20"/>
          <w:szCs w:val="20"/>
        </w:rPr>
        <w:t>analiza</w:t>
      </w:r>
      <w:r w:rsidR="00E006C5" w:rsidRPr="00566499">
        <w:rPr>
          <w:rFonts w:ascii="Verdana" w:hAnsi="Verdana"/>
          <w:sz w:val="20"/>
          <w:szCs w:val="20"/>
        </w:rPr>
        <w:t xml:space="preserve"> el tratamiento</w:t>
      </w:r>
      <w:r w:rsidR="00100FD8" w:rsidRPr="00566499">
        <w:rPr>
          <w:rFonts w:ascii="Verdana" w:hAnsi="Verdana"/>
          <w:sz w:val="20"/>
          <w:szCs w:val="20"/>
        </w:rPr>
        <w:t xml:space="preserve"> que</w:t>
      </w:r>
      <w:r w:rsidR="00E80D35" w:rsidRPr="00566499">
        <w:rPr>
          <w:rFonts w:ascii="Verdana" w:hAnsi="Verdana"/>
          <w:sz w:val="20"/>
          <w:szCs w:val="20"/>
        </w:rPr>
        <w:t xml:space="preserve"> los</w:t>
      </w:r>
      <w:r w:rsidR="00566499" w:rsidRPr="00566499">
        <w:rPr>
          <w:rFonts w:ascii="Verdana" w:hAnsi="Verdana"/>
          <w:sz w:val="20"/>
          <w:szCs w:val="20"/>
        </w:rPr>
        <w:t xml:space="preserve"> textos</w:t>
      </w:r>
      <w:r w:rsidR="00B21E97" w:rsidRPr="00566499">
        <w:rPr>
          <w:rFonts w:ascii="Verdana" w:hAnsi="Verdana"/>
          <w:sz w:val="20"/>
          <w:szCs w:val="20"/>
        </w:rPr>
        <w:t xml:space="preserve"> </w:t>
      </w:r>
      <w:r w:rsidR="00E80D35" w:rsidRPr="00566499">
        <w:rPr>
          <w:rFonts w:ascii="Verdana" w:hAnsi="Verdana"/>
          <w:sz w:val="20"/>
          <w:szCs w:val="20"/>
        </w:rPr>
        <w:t xml:space="preserve">de Historia, Geografía y Ciencias Sociales </w:t>
      </w:r>
      <w:r w:rsidR="00100FD8" w:rsidRPr="00566499">
        <w:rPr>
          <w:rFonts w:ascii="Verdana" w:hAnsi="Verdana"/>
          <w:sz w:val="20"/>
          <w:szCs w:val="20"/>
        </w:rPr>
        <w:t xml:space="preserve">asigna </w:t>
      </w:r>
      <w:r w:rsidR="00E127DB" w:rsidRPr="00566499">
        <w:rPr>
          <w:rFonts w:ascii="Verdana" w:hAnsi="Verdana"/>
          <w:sz w:val="20"/>
          <w:szCs w:val="20"/>
        </w:rPr>
        <w:t xml:space="preserve">a </w:t>
      </w:r>
      <w:r w:rsidR="00E80D35" w:rsidRPr="00566499">
        <w:rPr>
          <w:rFonts w:ascii="Verdana" w:hAnsi="Verdana"/>
          <w:sz w:val="20"/>
          <w:szCs w:val="20"/>
        </w:rPr>
        <w:t>la</w:t>
      </w:r>
      <w:r w:rsidR="009137A8" w:rsidRPr="00566499">
        <w:rPr>
          <w:rFonts w:ascii="Verdana" w:hAnsi="Verdana"/>
          <w:sz w:val="20"/>
          <w:szCs w:val="20"/>
        </w:rPr>
        <w:t>s</w:t>
      </w:r>
      <w:r w:rsidR="00E80D35" w:rsidRPr="00566499">
        <w:rPr>
          <w:rFonts w:ascii="Verdana" w:hAnsi="Verdana"/>
          <w:sz w:val="20"/>
          <w:szCs w:val="20"/>
        </w:rPr>
        <w:t xml:space="preserve"> mujer</w:t>
      </w:r>
      <w:r w:rsidR="009137A8" w:rsidRPr="00566499">
        <w:rPr>
          <w:rFonts w:ascii="Verdana" w:hAnsi="Verdana"/>
          <w:sz w:val="20"/>
          <w:szCs w:val="20"/>
        </w:rPr>
        <w:t>es</w:t>
      </w:r>
      <w:r w:rsidR="008619A3">
        <w:rPr>
          <w:rFonts w:ascii="Verdana" w:hAnsi="Verdana"/>
          <w:sz w:val="20"/>
          <w:szCs w:val="20"/>
        </w:rPr>
        <w:t xml:space="preserve"> de la Antigüedad C</w:t>
      </w:r>
      <w:r w:rsidR="00BC668D" w:rsidRPr="00566499">
        <w:rPr>
          <w:rFonts w:ascii="Verdana" w:hAnsi="Verdana"/>
          <w:sz w:val="20"/>
          <w:szCs w:val="20"/>
        </w:rPr>
        <w:t>lásica</w:t>
      </w:r>
      <w:r w:rsidR="00E80D35" w:rsidRPr="00566499">
        <w:rPr>
          <w:rFonts w:ascii="Verdana" w:hAnsi="Verdana"/>
          <w:sz w:val="20"/>
          <w:szCs w:val="20"/>
        </w:rPr>
        <w:t xml:space="preserve">. Con este propósito, se </w:t>
      </w:r>
      <w:r w:rsidRPr="00566499">
        <w:rPr>
          <w:rFonts w:ascii="Verdana" w:hAnsi="Verdana"/>
          <w:sz w:val="20"/>
          <w:szCs w:val="20"/>
        </w:rPr>
        <w:t xml:space="preserve">desarrolló </w:t>
      </w:r>
      <w:r w:rsidR="00037040" w:rsidRPr="00566499">
        <w:rPr>
          <w:rFonts w:ascii="Verdana" w:hAnsi="Verdana"/>
          <w:sz w:val="20"/>
          <w:szCs w:val="20"/>
        </w:rPr>
        <w:t xml:space="preserve">un </w:t>
      </w:r>
      <w:r w:rsidRPr="00566499">
        <w:rPr>
          <w:rFonts w:ascii="Verdana" w:hAnsi="Verdana"/>
          <w:sz w:val="20"/>
          <w:szCs w:val="20"/>
        </w:rPr>
        <w:t xml:space="preserve">análisis </w:t>
      </w:r>
      <w:r w:rsidR="008E63EE" w:rsidRPr="00566499">
        <w:rPr>
          <w:rFonts w:ascii="Verdana" w:hAnsi="Verdana"/>
          <w:sz w:val="20"/>
          <w:szCs w:val="20"/>
        </w:rPr>
        <w:t xml:space="preserve">crítico del discurso </w:t>
      </w:r>
      <w:r w:rsidR="00912B58" w:rsidRPr="00566499">
        <w:rPr>
          <w:rFonts w:ascii="Verdana" w:hAnsi="Verdana"/>
          <w:sz w:val="20"/>
          <w:szCs w:val="20"/>
        </w:rPr>
        <w:t xml:space="preserve">de dos </w:t>
      </w:r>
      <w:r w:rsidR="00566499" w:rsidRPr="00566499">
        <w:rPr>
          <w:rFonts w:ascii="Verdana" w:hAnsi="Verdana"/>
          <w:sz w:val="20"/>
          <w:szCs w:val="20"/>
        </w:rPr>
        <w:t xml:space="preserve">manuales </w:t>
      </w:r>
      <w:r w:rsidR="00912B58" w:rsidRPr="00566499">
        <w:rPr>
          <w:rFonts w:ascii="Verdana" w:hAnsi="Verdana"/>
          <w:sz w:val="20"/>
          <w:szCs w:val="20"/>
        </w:rPr>
        <w:t>escolares que fueron entregados por el Ministerio de Educación durante el año 2020 a los colegios municipales y particulares subvencionados de Chile</w:t>
      </w:r>
      <w:r w:rsidR="00E80D35" w:rsidRPr="00566499">
        <w:rPr>
          <w:rFonts w:ascii="Verdana" w:hAnsi="Verdana"/>
          <w:sz w:val="20"/>
          <w:szCs w:val="20"/>
        </w:rPr>
        <w:t xml:space="preserve">. </w:t>
      </w:r>
      <w:r w:rsidR="00566499" w:rsidRPr="00566499">
        <w:rPr>
          <w:rFonts w:ascii="Verdana" w:hAnsi="Verdana"/>
          <w:sz w:val="20"/>
          <w:szCs w:val="20"/>
        </w:rPr>
        <w:t>Los resultados demuestran</w:t>
      </w:r>
      <w:r w:rsidR="001963C1" w:rsidRPr="00566499">
        <w:rPr>
          <w:rFonts w:ascii="Verdana" w:hAnsi="Verdana"/>
          <w:sz w:val="20"/>
          <w:szCs w:val="20"/>
        </w:rPr>
        <w:t xml:space="preserve"> </w:t>
      </w:r>
      <w:r w:rsidR="00330A47" w:rsidRPr="00566499">
        <w:rPr>
          <w:rFonts w:ascii="Verdana" w:hAnsi="Verdana"/>
          <w:sz w:val="20"/>
          <w:szCs w:val="20"/>
        </w:rPr>
        <w:t>que los pasajes textuales analizados</w:t>
      </w:r>
      <w:r w:rsidR="00037040" w:rsidRPr="00566499">
        <w:rPr>
          <w:rFonts w:ascii="Verdana" w:hAnsi="Verdana"/>
          <w:sz w:val="20"/>
          <w:szCs w:val="20"/>
        </w:rPr>
        <w:t xml:space="preserve"> </w:t>
      </w:r>
      <w:r w:rsidR="004778AE" w:rsidRPr="00566499">
        <w:rPr>
          <w:rFonts w:ascii="Verdana" w:hAnsi="Verdana"/>
          <w:sz w:val="20"/>
          <w:szCs w:val="20"/>
        </w:rPr>
        <w:t>se enfoca</w:t>
      </w:r>
      <w:r w:rsidR="00330A47" w:rsidRPr="00566499">
        <w:rPr>
          <w:rFonts w:ascii="Verdana" w:hAnsi="Verdana"/>
          <w:sz w:val="20"/>
          <w:szCs w:val="20"/>
        </w:rPr>
        <w:t>n</w:t>
      </w:r>
      <w:r w:rsidR="004778AE" w:rsidRPr="00566499">
        <w:rPr>
          <w:rFonts w:ascii="Verdana" w:hAnsi="Verdana"/>
          <w:sz w:val="20"/>
          <w:szCs w:val="20"/>
        </w:rPr>
        <w:t xml:space="preserve"> exclusivamente en la categoría del </w:t>
      </w:r>
      <w:r w:rsidR="001701EF" w:rsidRPr="00566499">
        <w:rPr>
          <w:rFonts w:ascii="Verdana" w:hAnsi="Verdana"/>
          <w:sz w:val="20"/>
          <w:szCs w:val="20"/>
        </w:rPr>
        <w:t>a</w:t>
      </w:r>
      <w:r w:rsidR="004778AE" w:rsidRPr="00566499">
        <w:rPr>
          <w:rFonts w:ascii="Verdana" w:hAnsi="Verdana"/>
          <w:sz w:val="20"/>
          <w:szCs w:val="20"/>
        </w:rPr>
        <w:t xml:space="preserve">ndrocentrismo, ya que </w:t>
      </w:r>
      <w:r w:rsidR="00B21E97" w:rsidRPr="00566499">
        <w:rPr>
          <w:rFonts w:ascii="Verdana" w:hAnsi="Verdana"/>
          <w:sz w:val="20"/>
          <w:szCs w:val="20"/>
        </w:rPr>
        <w:t>s</w:t>
      </w:r>
      <w:r w:rsidR="004778AE" w:rsidRPr="00566499">
        <w:rPr>
          <w:rFonts w:ascii="Verdana" w:hAnsi="Verdana"/>
          <w:sz w:val="20"/>
          <w:szCs w:val="20"/>
        </w:rPr>
        <w:t>e</w:t>
      </w:r>
      <w:r w:rsidR="00B21E97" w:rsidRPr="00566499">
        <w:rPr>
          <w:rFonts w:ascii="Verdana" w:hAnsi="Verdana"/>
          <w:sz w:val="20"/>
          <w:szCs w:val="20"/>
        </w:rPr>
        <w:t xml:space="preserve"> evidencia</w:t>
      </w:r>
      <w:r w:rsidR="004778AE" w:rsidRPr="00566499">
        <w:rPr>
          <w:rFonts w:ascii="Verdana" w:hAnsi="Verdana"/>
          <w:sz w:val="20"/>
          <w:szCs w:val="20"/>
        </w:rPr>
        <w:t xml:space="preserve"> un alto grado de </w:t>
      </w:r>
      <w:proofErr w:type="spellStart"/>
      <w:r w:rsidR="004778AE" w:rsidRPr="00566499">
        <w:rPr>
          <w:rFonts w:ascii="Verdana" w:hAnsi="Verdana"/>
          <w:sz w:val="20"/>
          <w:szCs w:val="20"/>
        </w:rPr>
        <w:t>invisibilización</w:t>
      </w:r>
      <w:proofErr w:type="spellEnd"/>
      <w:r w:rsidR="004778AE" w:rsidRPr="00566499">
        <w:rPr>
          <w:rFonts w:ascii="Verdana" w:hAnsi="Verdana"/>
          <w:sz w:val="20"/>
          <w:szCs w:val="20"/>
        </w:rPr>
        <w:t xml:space="preserve"> del </w:t>
      </w:r>
      <w:r w:rsidR="00AA7851" w:rsidRPr="00566499">
        <w:rPr>
          <w:rFonts w:ascii="Verdana" w:hAnsi="Verdana"/>
          <w:sz w:val="20"/>
          <w:szCs w:val="20"/>
        </w:rPr>
        <w:t>papel</w:t>
      </w:r>
      <w:r w:rsidR="004778AE" w:rsidRPr="00566499">
        <w:rPr>
          <w:rFonts w:ascii="Verdana" w:hAnsi="Verdana"/>
          <w:sz w:val="20"/>
          <w:szCs w:val="20"/>
        </w:rPr>
        <w:t xml:space="preserve"> de la mujer en </w:t>
      </w:r>
      <w:r w:rsidR="00FC38FA">
        <w:rPr>
          <w:rFonts w:ascii="Verdana" w:hAnsi="Verdana"/>
          <w:sz w:val="20"/>
          <w:szCs w:val="20"/>
        </w:rPr>
        <w:t>la cultura clásica</w:t>
      </w:r>
      <w:r w:rsidR="004778AE" w:rsidRPr="00566499">
        <w:rPr>
          <w:rFonts w:ascii="Verdana" w:hAnsi="Verdana"/>
          <w:sz w:val="20"/>
          <w:szCs w:val="20"/>
        </w:rPr>
        <w:t xml:space="preserve">, </w:t>
      </w:r>
      <w:r w:rsidR="00912B58" w:rsidRPr="00566499">
        <w:rPr>
          <w:rFonts w:ascii="Verdana" w:hAnsi="Verdana"/>
          <w:sz w:val="20"/>
          <w:szCs w:val="20"/>
        </w:rPr>
        <w:t>una clara dicotomía entre los roles</w:t>
      </w:r>
      <w:r w:rsidR="004778AE" w:rsidRPr="00566499">
        <w:rPr>
          <w:rFonts w:ascii="Verdana" w:hAnsi="Verdana"/>
          <w:sz w:val="20"/>
          <w:szCs w:val="20"/>
        </w:rPr>
        <w:t xml:space="preserve"> </w:t>
      </w:r>
      <w:r w:rsidR="00251D4E" w:rsidRPr="00566499">
        <w:rPr>
          <w:rFonts w:ascii="Verdana" w:hAnsi="Verdana"/>
          <w:sz w:val="20"/>
          <w:szCs w:val="20"/>
        </w:rPr>
        <w:t xml:space="preserve">público </w:t>
      </w:r>
      <w:r w:rsidR="00912B58" w:rsidRPr="00566499">
        <w:rPr>
          <w:rFonts w:ascii="Verdana" w:hAnsi="Verdana"/>
          <w:sz w:val="20"/>
          <w:szCs w:val="20"/>
        </w:rPr>
        <w:t xml:space="preserve">masculino y </w:t>
      </w:r>
      <w:r w:rsidR="00251D4E" w:rsidRPr="00566499">
        <w:rPr>
          <w:rFonts w:ascii="Verdana" w:hAnsi="Verdana"/>
          <w:sz w:val="20"/>
          <w:szCs w:val="20"/>
        </w:rPr>
        <w:t xml:space="preserve">privado </w:t>
      </w:r>
      <w:r w:rsidR="004778AE" w:rsidRPr="00566499">
        <w:rPr>
          <w:rFonts w:ascii="Verdana" w:hAnsi="Verdana"/>
          <w:sz w:val="20"/>
          <w:szCs w:val="20"/>
        </w:rPr>
        <w:t xml:space="preserve">femenino, </w:t>
      </w:r>
      <w:r w:rsidR="00B21E97" w:rsidRPr="00566499">
        <w:rPr>
          <w:rFonts w:ascii="Verdana" w:hAnsi="Verdana"/>
          <w:sz w:val="20"/>
          <w:szCs w:val="20"/>
        </w:rPr>
        <w:t>y</w:t>
      </w:r>
      <w:r w:rsidR="004778AE" w:rsidRPr="00566499">
        <w:rPr>
          <w:rFonts w:ascii="Verdana" w:hAnsi="Verdana"/>
          <w:sz w:val="20"/>
          <w:szCs w:val="20"/>
        </w:rPr>
        <w:t xml:space="preserve"> una arraiga</w:t>
      </w:r>
      <w:r w:rsidR="00AA7851" w:rsidRPr="00566499">
        <w:rPr>
          <w:rFonts w:ascii="Verdana" w:hAnsi="Verdana"/>
          <w:sz w:val="20"/>
          <w:szCs w:val="20"/>
        </w:rPr>
        <w:t>da</w:t>
      </w:r>
      <w:r w:rsidR="004778AE" w:rsidRPr="00566499">
        <w:rPr>
          <w:rFonts w:ascii="Verdana" w:hAnsi="Verdana"/>
          <w:sz w:val="20"/>
          <w:szCs w:val="20"/>
        </w:rPr>
        <w:t xml:space="preserve"> perspectiva histórica </w:t>
      </w:r>
      <w:proofErr w:type="spellStart"/>
      <w:r w:rsidR="00F81C8F" w:rsidRPr="00566499">
        <w:rPr>
          <w:rFonts w:ascii="Verdana" w:hAnsi="Verdana"/>
          <w:sz w:val="20"/>
          <w:szCs w:val="20"/>
        </w:rPr>
        <w:t>adultocéntrica</w:t>
      </w:r>
      <w:proofErr w:type="spellEnd"/>
      <w:r w:rsidR="00F81C8F" w:rsidRPr="00566499">
        <w:rPr>
          <w:rFonts w:ascii="Verdana" w:hAnsi="Verdana"/>
          <w:sz w:val="20"/>
          <w:szCs w:val="20"/>
        </w:rPr>
        <w:t>.</w:t>
      </w:r>
    </w:p>
    <w:p w14:paraId="47CDC966" w14:textId="13D630E7" w:rsidR="00242B5E" w:rsidRPr="00566499" w:rsidRDefault="00242B5E" w:rsidP="003D1236">
      <w:pPr>
        <w:pStyle w:val="Sinespaciado"/>
        <w:spacing w:line="360" w:lineRule="auto"/>
        <w:jc w:val="both"/>
        <w:rPr>
          <w:rFonts w:ascii="Verdana" w:hAnsi="Verdana"/>
          <w:sz w:val="20"/>
          <w:szCs w:val="20"/>
        </w:rPr>
      </w:pPr>
      <w:r w:rsidRPr="00566499">
        <w:rPr>
          <w:rFonts w:ascii="Verdana" w:hAnsi="Verdana"/>
          <w:b/>
          <w:bCs/>
          <w:sz w:val="20"/>
          <w:szCs w:val="20"/>
        </w:rPr>
        <w:t>Palabras clave:</w:t>
      </w:r>
      <w:r w:rsidRPr="00566499">
        <w:rPr>
          <w:rFonts w:ascii="Verdana" w:hAnsi="Verdana"/>
          <w:sz w:val="20"/>
          <w:szCs w:val="20"/>
        </w:rPr>
        <w:t xml:space="preserve"> </w:t>
      </w:r>
      <w:r w:rsidR="001F1F4D" w:rsidRPr="00566499">
        <w:rPr>
          <w:rFonts w:ascii="Verdana" w:hAnsi="Verdana"/>
          <w:sz w:val="20"/>
          <w:szCs w:val="20"/>
        </w:rPr>
        <w:t xml:space="preserve">Análisis crítico del discurso; </w:t>
      </w:r>
      <w:r w:rsidR="001701EF" w:rsidRPr="00566499">
        <w:rPr>
          <w:rFonts w:ascii="Verdana" w:hAnsi="Verdana"/>
          <w:sz w:val="20"/>
          <w:szCs w:val="20"/>
        </w:rPr>
        <w:t>A</w:t>
      </w:r>
      <w:r w:rsidR="008619A3">
        <w:rPr>
          <w:rFonts w:ascii="Verdana" w:hAnsi="Verdana"/>
          <w:sz w:val="20"/>
          <w:szCs w:val="20"/>
        </w:rPr>
        <w:t>ntigüedad C</w:t>
      </w:r>
      <w:r w:rsidR="00E80D35" w:rsidRPr="00566499">
        <w:rPr>
          <w:rFonts w:ascii="Verdana" w:hAnsi="Verdana"/>
          <w:sz w:val="20"/>
          <w:szCs w:val="20"/>
        </w:rPr>
        <w:t>lásica</w:t>
      </w:r>
      <w:r w:rsidRPr="00566499">
        <w:rPr>
          <w:rFonts w:ascii="Verdana" w:hAnsi="Verdana"/>
          <w:sz w:val="20"/>
          <w:szCs w:val="20"/>
        </w:rPr>
        <w:t xml:space="preserve">; </w:t>
      </w:r>
      <w:r w:rsidR="001F1F4D" w:rsidRPr="00566499">
        <w:rPr>
          <w:rFonts w:ascii="Verdana" w:hAnsi="Verdana"/>
          <w:sz w:val="20"/>
          <w:szCs w:val="20"/>
        </w:rPr>
        <w:t xml:space="preserve">historia escolar; </w:t>
      </w:r>
      <w:r w:rsidRPr="00566499">
        <w:rPr>
          <w:rFonts w:ascii="Verdana" w:hAnsi="Verdana"/>
          <w:sz w:val="20"/>
          <w:szCs w:val="20"/>
        </w:rPr>
        <w:t xml:space="preserve">mujeres; </w:t>
      </w:r>
      <w:r w:rsidR="006E36B5" w:rsidRPr="00566499">
        <w:rPr>
          <w:rFonts w:ascii="Verdana" w:hAnsi="Verdana"/>
          <w:sz w:val="20"/>
          <w:szCs w:val="20"/>
        </w:rPr>
        <w:t>texto escolar</w:t>
      </w:r>
      <w:r w:rsidR="00ED4172" w:rsidRPr="00566499">
        <w:rPr>
          <w:rFonts w:ascii="Verdana" w:hAnsi="Verdana"/>
          <w:sz w:val="20"/>
          <w:szCs w:val="20"/>
        </w:rPr>
        <w:t>.</w:t>
      </w:r>
    </w:p>
    <w:p w14:paraId="71E1712F" w14:textId="3037A9CE" w:rsidR="00ED4172" w:rsidRPr="00BF3F34" w:rsidRDefault="00ED4172" w:rsidP="003D1236">
      <w:pPr>
        <w:pStyle w:val="Sinespaciado"/>
        <w:spacing w:line="360" w:lineRule="auto"/>
        <w:jc w:val="both"/>
        <w:rPr>
          <w:rFonts w:ascii="Verdana" w:hAnsi="Verdana"/>
          <w:sz w:val="20"/>
          <w:szCs w:val="20"/>
        </w:rPr>
      </w:pPr>
    </w:p>
    <w:p w14:paraId="5EE01A98" w14:textId="0FBFDAA1" w:rsidR="00912B58" w:rsidRPr="00912B58" w:rsidRDefault="000C250D" w:rsidP="000974A9">
      <w:pPr>
        <w:pStyle w:val="Sinespaciado"/>
        <w:spacing w:line="360" w:lineRule="auto"/>
        <w:jc w:val="both"/>
        <w:rPr>
          <w:rFonts w:ascii="Verdana" w:hAnsi="Verdana"/>
          <w:sz w:val="20"/>
          <w:szCs w:val="20"/>
          <w:lang w:val="en-US"/>
        </w:rPr>
      </w:pPr>
      <w:r w:rsidRPr="00BF3F34">
        <w:rPr>
          <w:rFonts w:ascii="Verdana" w:hAnsi="Verdana"/>
          <w:b/>
          <w:bCs/>
          <w:sz w:val="20"/>
          <w:szCs w:val="20"/>
          <w:lang w:val="en-US"/>
        </w:rPr>
        <w:t>Abstract:</w:t>
      </w:r>
      <w:r w:rsidRPr="00BF3F34">
        <w:rPr>
          <w:rFonts w:ascii="Verdana" w:hAnsi="Verdana"/>
          <w:sz w:val="20"/>
          <w:szCs w:val="20"/>
          <w:lang w:val="en-US"/>
        </w:rPr>
        <w:t xml:space="preserve"> </w:t>
      </w:r>
      <w:r w:rsidR="00FC38FA" w:rsidRPr="00FC38FA">
        <w:rPr>
          <w:rFonts w:ascii="Verdana" w:hAnsi="Verdana"/>
          <w:sz w:val="20"/>
          <w:szCs w:val="20"/>
          <w:lang w:val="en-US"/>
        </w:rPr>
        <w:t xml:space="preserve">The Ancient History units present in Chilean manuals </w:t>
      </w:r>
      <w:proofErr w:type="gramStart"/>
      <w:r w:rsidR="00FC38FA" w:rsidRPr="00FC38FA">
        <w:rPr>
          <w:rFonts w:ascii="Verdana" w:hAnsi="Verdana"/>
          <w:sz w:val="20"/>
          <w:szCs w:val="20"/>
          <w:lang w:val="en-US"/>
        </w:rPr>
        <w:t>are characterized</w:t>
      </w:r>
      <w:proofErr w:type="gramEnd"/>
      <w:r w:rsidR="00FC38FA" w:rsidRPr="00FC38FA">
        <w:rPr>
          <w:rFonts w:ascii="Verdana" w:hAnsi="Verdana"/>
          <w:sz w:val="20"/>
          <w:szCs w:val="20"/>
          <w:lang w:val="en-US"/>
        </w:rPr>
        <w:t xml:space="preserve"> by</w:t>
      </w:r>
      <w:r w:rsidR="00FC35E9">
        <w:rPr>
          <w:rFonts w:ascii="Verdana" w:hAnsi="Verdana"/>
          <w:sz w:val="20"/>
          <w:szCs w:val="20"/>
          <w:lang w:val="en-US"/>
        </w:rPr>
        <w:t xml:space="preserve"> expose</w:t>
      </w:r>
      <w:r w:rsidR="00FC38FA" w:rsidRPr="00FC38FA">
        <w:rPr>
          <w:rFonts w:ascii="Verdana" w:hAnsi="Verdana"/>
          <w:sz w:val="20"/>
          <w:szCs w:val="20"/>
          <w:lang w:val="en-US"/>
        </w:rPr>
        <w:t xml:space="preserve"> an androcentric</w:t>
      </w:r>
      <w:r w:rsidR="005A2DFA">
        <w:rPr>
          <w:rFonts w:ascii="Verdana" w:hAnsi="Verdana"/>
          <w:sz w:val="20"/>
          <w:szCs w:val="20"/>
          <w:lang w:val="en-US"/>
        </w:rPr>
        <w:t xml:space="preserve"> historical</w:t>
      </w:r>
      <w:r w:rsidR="00FC38FA" w:rsidRPr="00FC38FA">
        <w:rPr>
          <w:rFonts w:ascii="Verdana" w:hAnsi="Verdana"/>
          <w:sz w:val="20"/>
          <w:szCs w:val="20"/>
          <w:lang w:val="en-US"/>
        </w:rPr>
        <w:t xml:space="preserve"> narrative that marginalizes the participation of women, since they have traditionally focused on describing the cont</w:t>
      </w:r>
      <w:r w:rsidR="00FC38FA">
        <w:rPr>
          <w:rFonts w:ascii="Verdana" w:hAnsi="Verdana"/>
          <w:sz w:val="20"/>
          <w:szCs w:val="20"/>
          <w:lang w:val="en-US"/>
        </w:rPr>
        <w:t xml:space="preserve">ributions made by elite men in </w:t>
      </w:r>
      <w:proofErr w:type="spellStart"/>
      <w:r w:rsidR="00FC38FA">
        <w:rPr>
          <w:rFonts w:ascii="Verdana" w:hAnsi="Verdana"/>
          <w:sz w:val="20"/>
          <w:szCs w:val="20"/>
          <w:lang w:val="en-US"/>
        </w:rPr>
        <w:t>greco-r</w:t>
      </w:r>
      <w:r w:rsidR="00FC38FA" w:rsidRPr="00FC38FA">
        <w:rPr>
          <w:rFonts w:ascii="Verdana" w:hAnsi="Verdana"/>
          <w:sz w:val="20"/>
          <w:szCs w:val="20"/>
          <w:lang w:val="en-US"/>
        </w:rPr>
        <w:t>oman</w:t>
      </w:r>
      <w:proofErr w:type="spellEnd"/>
      <w:r w:rsidR="00FC38FA" w:rsidRPr="00FC38FA">
        <w:rPr>
          <w:rFonts w:ascii="Verdana" w:hAnsi="Verdana"/>
          <w:sz w:val="20"/>
          <w:szCs w:val="20"/>
          <w:lang w:val="en-US"/>
        </w:rPr>
        <w:t xml:space="preserve"> culture</w:t>
      </w:r>
      <w:r w:rsidR="000974A9" w:rsidRPr="000974A9">
        <w:rPr>
          <w:rFonts w:ascii="Verdana" w:hAnsi="Verdana"/>
          <w:sz w:val="20"/>
          <w:szCs w:val="20"/>
          <w:lang w:val="en-US"/>
        </w:rPr>
        <w:t>. To highlight this problem, this artic</w:t>
      </w:r>
      <w:r w:rsidR="000974A9">
        <w:rPr>
          <w:rFonts w:ascii="Verdana" w:hAnsi="Verdana"/>
          <w:sz w:val="20"/>
          <w:szCs w:val="20"/>
          <w:lang w:val="en-US"/>
        </w:rPr>
        <w:t>le analyses the treatment that History, Geography and Social Science texts give to women of the Classical A</w:t>
      </w:r>
      <w:r w:rsidR="000974A9" w:rsidRPr="000974A9">
        <w:rPr>
          <w:rFonts w:ascii="Verdana" w:hAnsi="Verdana"/>
          <w:sz w:val="20"/>
          <w:szCs w:val="20"/>
          <w:lang w:val="en-US"/>
        </w:rPr>
        <w:t xml:space="preserve">ntiquity. For this purpose, a critical analysis was made of the discourse of two school textbooks that </w:t>
      </w:r>
      <w:proofErr w:type="gramStart"/>
      <w:r w:rsidR="000974A9" w:rsidRPr="000974A9">
        <w:rPr>
          <w:rFonts w:ascii="Verdana" w:hAnsi="Verdana"/>
          <w:sz w:val="20"/>
          <w:szCs w:val="20"/>
          <w:lang w:val="en-US"/>
        </w:rPr>
        <w:t>were delivered</w:t>
      </w:r>
      <w:proofErr w:type="gramEnd"/>
      <w:r w:rsidR="000974A9" w:rsidRPr="000974A9">
        <w:rPr>
          <w:rFonts w:ascii="Verdana" w:hAnsi="Verdana"/>
          <w:sz w:val="20"/>
          <w:szCs w:val="20"/>
          <w:lang w:val="en-US"/>
        </w:rPr>
        <w:t xml:space="preserve"> by the Ministry of Education during the year 2020 to </w:t>
      </w:r>
      <w:r w:rsidR="00FC35E9">
        <w:rPr>
          <w:rFonts w:ascii="Verdana" w:hAnsi="Verdana"/>
          <w:sz w:val="20"/>
          <w:szCs w:val="20"/>
          <w:lang w:val="en-US"/>
        </w:rPr>
        <w:t>municipal and subsidized particular</w:t>
      </w:r>
      <w:r w:rsidR="000974A9" w:rsidRPr="000974A9">
        <w:rPr>
          <w:rFonts w:ascii="Verdana" w:hAnsi="Verdana"/>
          <w:sz w:val="20"/>
          <w:szCs w:val="20"/>
          <w:lang w:val="en-US"/>
        </w:rPr>
        <w:t xml:space="preserve"> schools in Chile. The results show that the textual passages analyzed focus exclusively on the category of </w:t>
      </w:r>
      <w:proofErr w:type="spellStart"/>
      <w:r w:rsidR="000974A9" w:rsidRPr="000974A9">
        <w:rPr>
          <w:rFonts w:ascii="Verdana" w:hAnsi="Verdana"/>
          <w:sz w:val="20"/>
          <w:szCs w:val="20"/>
          <w:lang w:val="en-US"/>
        </w:rPr>
        <w:t>androcentrism</w:t>
      </w:r>
      <w:proofErr w:type="spellEnd"/>
      <w:r w:rsidR="000974A9" w:rsidRPr="000974A9">
        <w:rPr>
          <w:rFonts w:ascii="Verdana" w:hAnsi="Verdana"/>
          <w:sz w:val="20"/>
          <w:szCs w:val="20"/>
          <w:lang w:val="en-US"/>
        </w:rPr>
        <w:t>, since there is evidence of a high degree of invisi</w:t>
      </w:r>
      <w:r w:rsidR="000974A9">
        <w:rPr>
          <w:rFonts w:ascii="Verdana" w:hAnsi="Verdana"/>
          <w:sz w:val="20"/>
          <w:szCs w:val="20"/>
          <w:lang w:val="en-US"/>
        </w:rPr>
        <w:t>bility</w:t>
      </w:r>
      <w:r w:rsidR="00FC38FA">
        <w:rPr>
          <w:rFonts w:ascii="Verdana" w:hAnsi="Verdana"/>
          <w:sz w:val="20"/>
          <w:szCs w:val="20"/>
          <w:lang w:val="en-US"/>
        </w:rPr>
        <w:t xml:space="preserve"> of the role of women in classical</w:t>
      </w:r>
      <w:r w:rsidR="000974A9" w:rsidRPr="000974A9">
        <w:rPr>
          <w:rFonts w:ascii="Verdana" w:hAnsi="Verdana"/>
          <w:sz w:val="20"/>
          <w:szCs w:val="20"/>
          <w:lang w:val="en-US"/>
        </w:rPr>
        <w:t xml:space="preserve"> culture, a clear dichotomy between</w:t>
      </w:r>
      <w:r w:rsidR="000974A9">
        <w:rPr>
          <w:rFonts w:ascii="Verdana" w:hAnsi="Verdana"/>
          <w:sz w:val="20"/>
          <w:szCs w:val="20"/>
          <w:lang w:val="en-US"/>
        </w:rPr>
        <w:t xml:space="preserve"> the</w:t>
      </w:r>
      <w:r w:rsidR="000974A9" w:rsidRPr="000974A9">
        <w:rPr>
          <w:rFonts w:ascii="Verdana" w:hAnsi="Verdana"/>
          <w:sz w:val="20"/>
          <w:szCs w:val="20"/>
          <w:lang w:val="en-US"/>
        </w:rPr>
        <w:t xml:space="preserve"> public male and p</w:t>
      </w:r>
      <w:r w:rsidR="008619A3">
        <w:rPr>
          <w:rFonts w:ascii="Verdana" w:hAnsi="Verdana"/>
          <w:sz w:val="20"/>
          <w:szCs w:val="20"/>
          <w:lang w:val="en-US"/>
        </w:rPr>
        <w:t xml:space="preserve">rivate female roles, and a </w:t>
      </w:r>
      <w:r w:rsidR="000974A9" w:rsidRPr="000974A9">
        <w:rPr>
          <w:rFonts w:ascii="Verdana" w:hAnsi="Verdana"/>
          <w:sz w:val="20"/>
          <w:szCs w:val="20"/>
          <w:lang w:val="en-US"/>
        </w:rPr>
        <w:t>rooted adult-c</w:t>
      </w:r>
      <w:r w:rsidR="000974A9">
        <w:rPr>
          <w:rFonts w:ascii="Verdana" w:hAnsi="Verdana"/>
          <w:sz w:val="20"/>
          <w:szCs w:val="20"/>
          <w:lang w:val="en-US"/>
        </w:rPr>
        <w:t>entered historical perspective.</w:t>
      </w:r>
    </w:p>
    <w:p w14:paraId="58E377B7" w14:textId="2F1ADADE" w:rsidR="008619A3" w:rsidRDefault="000C250D" w:rsidP="003D1236">
      <w:pPr>
        <w:pStyle w:val="Sinespaciado"/>
        <w:spacing w:line="360" w:lineRule="auto"/>
        <w:jc w:val="both"/>
        <w:rPr>
          <w:rFonts w:ascii="Verdana" w:hAnsi="Verdana"/>
          <w:sz w:val="20"/>
          <w:szCs w:val="20"/>
          <w:lang w:val="en-US"/>
        </w:rPr>
      </w:pPr>
      <w:r w:rsidRPr="00BF3F34">
        <w:rPr>
          <w:rFonts w:ascii="Verdana" w:hAnsi="Verdana"/>
          <w:b/>
          <w:bCs/>
          <w:sz w:val="20"/>
          <w:szCs w:val="20"/>
          <w:lang w:val="en-US"/>
        </w:rPr>
        <w:t>Keywords:</w:t>
      </w:r>
      <w:r w:rsidRPr="00BF3F34">
        <w:rPr>
          <w:rFonts w:ascii="Verdana" w:hAnsi="Verdana"/>
          <w:sz w:val="20"/>
          <w:szCs w:val="20"/>
          <w:lang w:val="en-US"/>
        </w:rPr>
        <w:t xml:space="preserve"> </w:t>
      </w:r>
      <w:r w:rsidR="00465CBA" w:rsidRPr="00BF3F34">
        <w:rPr>
          <w:rFonts w:ascii="Verdana" w:hAnsi="Verdana"/>
          <w:sz w:val="20"/>
          <w:szCs w:val="20"/>
          <w:lang w:val="en-US"/>
        </w:rPr>
        <w:t>Critical discourse analysis; classical antiquity; s</w:t>
      </w:r>
      <w:r w:rsidRPr="00BF3F34">
        <w:rPr>
          <w:rFonts w:ascii="Verdana" w:hAnsi="Verdana"/>
          <w:sz w:val="20"/>
          <w:szCs w:val="20"/>
          <w:lang w:val="en-US"/>
        </w:rPr>
        <w:t>chool history; women; text</w:t>
      </w:r>
      <w:r w:rsidR="000C4817" w:rsidRPr="00BF3F34">
        <w:rPr>
          <w:rFonts w:ascii="Verdana" w:hAnsi="Verdana"/>
          <w:sz w:val="20"/>
          <w:szCs w:val="20"/>
          <w:lang w:val="en-US"/>
        </w:rPr>
        <w:t>books</w:t>
      </w:r>
      <w:r w:rsidR="00465CBA" w:rsidRPr="00BF3F34">
        <w:rPr>
          <w:rFonts w:ascii="Verdana" w:hAnsi="Verdana"/>
          <w:sz w:val="20"/>
          <w:szCs w:val="20"/>
          <w:lang w:val="en-US"/>
        </w:rPr>
        <w:t>.</w:t>
      </w:r>
      <w:r w:rsidR="00EE3277" w:rsidRPr="00BF3F34">
        <w:rPr>
          <w:rFonts w:ascii="Verdana" w:hAnsi="Verdana"/>
          <w:sz w:val="20"/>
          <w:szCs w:val="20"/>
          <w:lang w:val="en-US"/>
        </w:rPr>
        <w:t xml:space="preserve"> </w:t>
      </w:r>
    </w:p>
    <w:p w14:paraId="316098C6" w14:textId="77777777" w:rsidR="00120714" w:rsidRPr="00C14199" w:rsidRDefault="00120714" w:rsidP="003D1236">
      <w:pPr>
        <w:pStyle w:val="Sinespaciado"/>
        <w:spacing w:line="360" w:lineRule="auto"/>
        <w:jc w:val="both"/>
        <w:rPr>
          <w:rFonts w:ascii="Verdana" w:hAnsi="Verdana"/>
          <w:b/>
          <w:iCs/>
          <w:sz w:val="20"/>
          <w:szCs w:val="20"/>
          <w:lang w:val="en-US"/>
        </w:rPr>
      </w:pPr>
    </w:p>
    <w:p w14:paraId="66181304" w14:textId="3905DF9F" w:rsidR="00A17613" w:rsidRPr="00FC38FA" w:rsidRDefault="006104AF" w:rsidP="003D1236">
      <w:pPr>
        <w:pStyle w:val="Sinespaciado"/>
        <w:spacing w:line="360" w:lineRule="auto"/>
        <w:jc w:val="both"/>
        <w:rPr>
          <w:rFonts w:ascii="Verdana" w:hAnsi="Verdana"/>
          <w:sz w:val="20"/>
          <w:szCs w:val="20"/>
          <w:lang w:val="es-CL"/>
        </w:rPr>
      </w:pPr>
      <w:r w:rsidRPr="00BF3F34">
        <w:rPr>
          <w:rFonts w:ascii="Verdana" w:hAnsi="Verdana"/>
          <w:b/>
          <w:iCs/>
          <w:sz w:val="20"/>
          <w:szCs w:val="20"/>
        </w:rPr>
        <w:lastRenderedPageBreak/>
        <w:t>INTRODUCCIÓN</w:t>
      </w:r>
    </w:p>
    <w:p w14:paraId="58BD8054" w14:textId="77777777" w:rsidR="00A17613" w:rsidRPr="00F07D5A" w:rsidRDefault="00A17613" w:rsidP="003D1236">
      <w:pPr>
        <w:pStyle w:val="Sinespaciado"/>
        <w:spacing w:line="360" w:lineRule="auto"/>
        <w:ind w:firstLine="720"/>
        <w:jc w:val="both"/>
        <w:rPr>
          <w:rFonts w:ascii="Verdana" w:hAnsi="Verdana"/>
          <w:sz w:val="20"/>
          <w:szCs w:val="20"/>
        </w:rPr>
      </w:pPr>
    </w:p>
    <w:p w14:paraId="4F4DE443" w14:textId="7226935F" w:rsidR="000C4817" w:rsidRPr="00F07D5A" w:rsidRDefault="006104AF" w:rsidP="003D1236">
      <w:pPr>
        <w:pStyle w:val="Sinespaciado"/>
        <w:spacing w:line="360" w:lineRule="auto"/>
        <w:jc w:val="both"/>
        <w:rPr>
          <w:rFonts w:ascii="Verdana" w:hAnsi="Verdana"/>
          <w:sz w:val="20"/>
          <w:szCs w:val="20"/>
        </w:rPr>
      </w:pPr>
      <w:r w:rsidRPr="00F07D5A">
        <w:rPr>
          <w:rFonts w:ascii="Verdana" w:hAnsi="Verdana"/>
          <w:sz w:val="20"/>
          <w:szCs w:val="20"/>
        </w:rPr>
        <w:t>Desde</w:t>
      </w:r>
      <w:r w:rsidR="009E1AFF" w:rsidRPr="00F07D5A">
        <w:rPr>
          <w:rFonts w:ascii="Verdana" w:hAnsi="Verdana"/>
          <w:sz w:val="20"/>
          <w:szCs w:val="20"/>
        </w:rPr>
        <w:t xml:space="preserve"> finales del siglo XIX</w:t>
      </w:r>
      <w:r w:rsidRPr="00F07D5A">
        <w:rPr>
          <w:rFonts w:ascii="Verdana" w:hAnsi="Verdana"/>
          <w:sz w:val="20"/>
          <w:szCs w:val="20"/>
        </w:rPr>
        <w:t xml:space="preserve">, </w:t>
      </w:r>
      <w:r w:rsidR="009E1AFF" w:rsidRPr="00F07D5A">
        <w:rPr>
          <w:rFonts w:ascii="Verdana" w:hAnsi="Verdana"/>
          <w:sz w:val="20"/>
          <w:szCs w:val="20"/>
        </w:rPr>
        <w:t xml:space="preserve">especialmente tras el golpe de Estado de 1973, </w:t>
      </w:r>
      <w:r w:rsidRPr="00F07D5A">
        <w:rPr>
          <w:rFonts w:ascii="Verdana" w:hAnsi="Verdana"/>
          <w:sz w:val="20"/>
          <w:szCs w:val="20"/>
        </w:rPr>
        <w:t xml:space="preserve">la escuela </w:t>
      </w:r>
      <w:r w:rsidR="009E1AFF" w:rsidRPr="00F07D5A">
        <w:rPr>
          <w:rFonts w:ascii="Verdana" w:hAnsi="Verdana"/>
          <w:sz w:val="20"/>
          <w:szCs w:val="20"/>
        </w:rPr>
        <w:t xml:space="preserve">en Chile </w:t>
      </w:r>
      <w:r w:rsidRPr="00F07D5A">
        <w:rPr>
          <w:rFonts w:ascii="Verdana" w:hAnsi="Verdana"/>
          <w:sz w:val="20"/>
          <w:szCs w:val="20"/>
        </w:rPr>
        <w:t>se ha consagrado</w:t>
      </w:r>
      <w:r w:rsidR="009E1AFF" w:rsidRPr="00F07D5A">
        <w:rPr>
          <w:rFonts w:ascii="Verdana" w:hAnsi="Verdana"/>
          <w:sz w:val="20"/>
          <w:szCs w:val="20"/>
        </w:rPr>
        <w:t xml:space="preserve"> </w:t>
      </w:r>
      <w:r w:rsidRPr="00F07D5A">
        <w:rPr>
          <w:rFonts w:ascii="Verdana" w:hAnsi="Verdana"/>
          <w:sz w:val="20"/>
          <w:szCs w:val="20"/>
        </w:rPr>
        <w:t xml:space="preserve">como </w:t>
      </w:r>
      <w:r w:rsidR="000C4817" w:rsidRPr="00F07D5A">
        <w:rPr>
          <w:rFonts w:ascii="Verdana" w:hAnsi="Verdana"/>
          <w:sz w:val="20"/>
          <w:szCs w:val="20"/>
        </w:rPr>
        <w:t>la instancia social</w:t>
      </w:r>
      <w:r w:rsidRPr="00F07D5A">
        <w:rPr>
          <w:rFonts w:ascii="Verdana" w:hAnsi="Verdana"/>
          <w:sz w:val="20"/>
          <w:szCs w:val="20"/>
        </w:rPr>
        <w:t xml:space="preserve"> predilect</w:t>
      </w:r>
      <w:r w:rsidR="000C4817" w:rsidRPr="00F07D5A">
        <w:rPr>
          <w:rFonts w:ascii="Verdana" w:hAnsi="Verdana"/>
          <w:sz w:val="20"/>
          <w:szCs w:val="20"/>
        </w:rPr>
        <w:t>a</w:t>
      </w:r>
      <w:r w:rsidRPr="00F07D5A">
        <w:rPr>
          <w:rFonts w:ascii="Verdana" w:hAnsi="Verdana"/>
          <w:sz w:val="20"/>
          <w:szCs w:val="20"/>
        </w:rPr>
        <w:t xml:space="preserve"> para desplegar y materializar el </w:t>
      </w:r>
      <w:r w:rsidR="000C4817" w:rsidRPr="00F07D5A">
        <w:rPr>
          <w:rFonts w:ascii="Verdana" w:hAnsi="Verdana"/>
          <w:sz w:val="20"/>
          <w:szCs w:val="20"/>
        </w:rPr>
        <w:t xml:space="preserve">discurso histórico tradicional </w:t>
      </w:r>
      <w:r w:rsidR="00B35658" w:rsidRPr="00F07D5A">
        <w:rPr>
          <w:rFonts w:ascii="Verdana" w:hAnsi="Verdana"/>
          <w:sz w:val="20"/>
          <w:szCs w:val="20"/>
        </w:rPr>
        <w:t>en la memoria colectiva</w:t>
      </w:r>
      <w:r w:rsidRPr="00F07D5A">
        <w:rPr>
          <w:rFonts w:ascii="Verdana" w:hAnsi="Verdana"/>
          <w:sz w:val="20"/>
          <w:szCs w:val="20"/>
        </w:rPr>
        <w:t>, ya que ofrece la posibilidad de intervenir en la formación de los futuros ciudadanos del país</w:t>
      </w:r>
      <w:r w:rsidR="00F8079E" w:rsidRPr="00F07D5A">
        <w:rPr>
          <w:rFonts w:ascii="Verdana" w:hAnsi="Verdana"/>
          <w:sz w:val="20"/>
          <w:szCs w:val="20"/>
        </w:rPr>
        <w:t xml:space="preserve"> (</w:t>
      </w:r>
      <w:r w:rsidR="004A1048" w:rsidRPr="00F07D5A">
        <w:rPr>
          <w:rFonts w:ascii="Verdana" w:hAnsi="Verdana"/>
          <w:sz w:val="20"/>
          <w:szCs w:val="20"/>
        </w:rPr>
        <w:t>Zúñiga</w:t>
      </w:r>
      <w:r w:rsidR="00F8079E" w:rsidRPr="00F07D5A">
        <w:rPr>
          <w:rFonts w:ascii="Verdana" w:hAnsi="Verdana"/>
          <w:sz w:val="20"/>
          <w:szCs w:val="20"/>
        </w:rPr>
        <w:t>, 2015</w:t>
      </w:r>
      <w:r w:rsidR="004A1048" w:rsidRPr="00F07D5A">
        <w:rPr>
          <w:rFonts w:ascii="Verdana" w:hAnsi="Verdana"/>
          <w:sz w:val="20"/>
          <w:szCs w:val="20"/>
        </w:rPr>
        <w:t>)</w:t>
      </w:r>
      <w:r w:rsidRPr="00F07D5A">
        <w:rPr>
          <w:rFonts w:ascii="Verdana" w:hAnsi="Verdana"/>
          <w:sz w:val="20"/>
          <w:szCs w:val="20"/>
        </w:rPr>
        <w:t xml:space="preserve">. </w:t>
      </w:r>
    </w:p>
    <w:p w14:paraId="33B0ABBA" w14:textId="465F1625" w:rsidR="00EC7EED" w:rsidRPr="00F07D5A" w:rsidRDefault="00437A89" w:rsidP="003D1236">
      <w:pPr>
        <w:pStyle w:val="Sinespaciado"/>
        <w:spacing w:line="360" w:lineRule="auto"/>
        <w:jc w:val="both"/>
        <w:rPr>
          <w:rFonts w:ascii="Verdana" w:hAnsi="Verdana"/>
          <w:sz w:val="20"/>
          <w:szCs w:val="20"/>
        </w:rPr>
      </w:pPr>
      <w:r w:rsidRPr="00F07D5A">
        <w:rPr>
          <w:rFonts w:ascii="Verdana" w:hAnsi="Verdana"/>
          <w:sz w:val="20"/>
          <w:szCs w:val="20"/>
        </w:rPr>
        <w:t>En dicho propósito, l</w:t>
      </w:r>
      <w:r w:rsidR="006104AF" w:rsidRPr="00F07D5A">
        <w:rPr>
          <w:rFonts w:ascii="Verdana" w:hAnsi="Verdana"/>
          <w:sz w:val="20"/>
          <w:szCs w:val="20"/>
        </w:rPr>
        <w:t>os manuales de Historia, Geografía y Ciencias Sociales distribuidos por el Ministerio de Educación</w:t>
      </w:r>
      <w:r w:rsidR="00866E74" w:rsidRPr="00F07D5A">
        <w:rPr>
          <w:rFonts w:ascii="Verdana" w:hAnsi="Verdana"/>
          <w:sz w:val="20"/>
          <w:szCs w:val="20"/>
        </w:rPr>
        <w:t xml:space="preserve"> (MINEDUC, Chile)</w:t>
      </w:r>
      <w:r w:rsidR="006104AF" w:rsidRPr="00F07D5A">
        <w:rPr>
          <w:rFonts w:ascii="Verdana" w:hAnsi="Verdana"/>
          <w:sz w:val="20"/>
          <w:szCs w:val="20"/>
        </w:rPr>
        <w:t xml:space="preserve"> han tenido un rol </w:t>
      </w:r>
      <w:r w:rsidR="00050C6F" w:rsidRPr="00F07D5A">
        <w:rPr>
          <w:rFonts w:ascii="Verdana" w:hAnsi="Verdana"/>
          <w:sz w:val="20"/>
          <w:szCs w:val="20"/>
        </w:rPr>
        <w:t>clave</w:t>
      </w:r>
      <w:r w:rsidR="005A323A" w:rsidRPr="00F07D5A">
        <w:rPr>
          <w:rFonts w:ascii="Verdana" w:hAnsi="Verdana"/>
          <w:sz w:val="20"/>
          <w:szCs w:val="20"/>
        </w:rPr>
        <w:t xml:space="preserve"> porque</w:t>
      </w:r>
      <w:r w:rsidR="006104AF" w:rsidRPr="00F07D5A">
        <w:rPr>
          <w:rFonts w:ascii="Verdana" w:hAnsi="Verdana"/>
          <w:sz w:val="20"/>
          <w:szCs w:val="20"/>
        </w:rPr>
        <w:t xml:space="preserve"> se han convertido en los principales dispositivos de transmisión </w:t>
      </w:r>
      <w:r w:rsidR="009E1AFF" w:rsidRPr="00F07D5A">
        <w:rPr>
          <w:rFonts w:ascii="Verdana" w:hAnsi="Verdana"/>
          <w:sz w:val="20"/>
          <w:szCs w:val="20"/>
        </w:rPr>
        <w:t xml:space="preserve">de la historia </w:t>
      </w:r>
      <w:r w:rsidRPr="00F07D5A">
        <w:rPr>
          <w:rFonts w:ascii="Verdana" w:hAnsi="Verdana"/>
          <w:sz w:val="20"/>
          <w:szCs w:val="20"/>
        </w:rPr>
        <w:t>tradicional</w:t>
      </w:r>
      <w:r w:rsidR="00806EFC">
        <w:rPr>
          <w:rFonts w:ascii="Verdana" w:hAnsi="Verdana"/>
          <w:sz w:val="20"/>
          <w:szCs w:val="20"/>
        </w:rPr>
        <w:t>,</w:t>
      </w:r>
      <w:r w:rsidR="009E1AFF" w:rsidRPr="00F07D5A">
        <w:rPr>
          <w:rFonts w:ascii="Verdana" w:hAnsi="Verdana"/>
          <w:sz w:val="20"/>
          <w:szCs w:val="20"/>
        </w:rPr>
        <w:t xml:space="preserve"> que busca, por una parte, </w:t>
      </w:r>
      <w:r w:rsidR="00C63188" w:rsidRPr="00F07D5A">
        <w:rPr>
          <w:rFonts w:ascii="Verdana" w:hAnsi="Verdana"/>
          <w:sz w:val="20"/>
          <w:szCs w:val="20"/>
        </w:rPr>
        <w:t>homologar</w:t>
      </w:r>
      <w:r w:rsidR="009E1AFF" w:rsidRPr="00F07D5A">
        <w:rPr>
          <w:rFonts w:ascii="Verdana" w:hAnsi="Verdana"/>
          <w:sz w:val="20"/>
          <w:szCs w:val="20"/>
        </w:rPr>
        <w:t xml:space="preserve"> la historia de la humanidad con la de Europa</w:t>
      </w:r>
      <w:r w:rsidR="00AA073C" w:rsidRPr="00F07D5A">
        <w:rPr>
          <w:rFonts w:ascii="Verdana" w:hAnsi="Verdana"/>
          <w:sz w:val="20"/>
          <w:szCs w:val="20"/>
        </w:rPr>
        <w:t xml:space="preserve"> a partir de la valoración de</w:t>
      </w:r>
      <w:r w:rsidR="00F96FEE" w:rsidRPr="00F07D5A">
        <w:rPr>
          <w:rFonts w:ascii="Verdana" w:hAnsi="Verdana"/>
          <w:sz w:val="20"/>
          <w:szCs w:val="20"/>
        </w:rPr>
        <w:t>l legado cultural grecorromano</w:t>
      </w:r>
      <w:r w:rsidR="00AA073C" w:rsidRPr="00F07D5A">
        <w:rPr>
          <w:rFonts w:ascii="Verdana" w:hAnsi="Verdana"/>
          <w:sz w:val="20"/>
          <w:szCs w:val="20"/>
        </w:rPr>
        <w:t xml:space="preserve"> en</w:t>
      </w:r>
      <w:r w:rsidR="00F96FEE" w:rsidRPr="00F07D5A">
        <w:rPr>
          <w:rFonts w:ascii="Verdana" w:hAnsi="Verdana"/>
          <w:sz w:val="20"/>
          <w:szCs w:val="20"/>
        </w:rPr>
        <w:t xml:space="preserve"> Occidente</w:t>
      </w:r>
      <w:r w:rsidR="009E1AFF" w:rsidRPr="00F07D5A">
        <w:rPr>
          <w:rFonts w:ascii="Verdana" w:hAnsi="Verdana"/>
          <w:sz w:val="20"/>
          <w:szCs w:val="20"/>
        </w:rPr>
        <w:t>; y, por otra, enseñar y convencer a los estudiantes de</w:t>
      </w:r>
      <w:r w:rsidR="00B35658" w:rsidRPr="00F07D5A">
        <w:rPr>
          <w:rFonts w:ascii="Verdana" w:hAnsi="Verdana"/>
          <w:sz w:val="20"/>
          <w:szCs w:val="20"/>
        </w:rPr>
        <w:t xml:space="preserve"> que el</w:t>
      </w:r>
      <w:r w:rsidR="006A6922" w:rsidRPr="00F07D5A">
        <w:rPr>
          <w:rFonts w:ascii="Verdana" w:hAnsi="Verdana"/>
          <w:sz w:val="20"/>
          <w:szCs w:val="20"/>
        </w:rPr>
        <w:t xml:space="preserve"> discurso androcéntrico</w:t>
      </w:r>
      <w:r w:rsidR="004803C9" w:rsidRPr="00F07D5A">
        <w:rPr>
          <w:rFonts w:ascii="Verdana" w:hAnsi="Verdana"/>
          <w:sz w:val="20"/>
          <w:szCs w:val="20"/>
        </w:rPr>
        <w:t xml:space="preserve"> derivado del eurocentrismo </w:t>
      </w:r>
      <w:r w:rsidR="00B35658" w:rsidRPr="00F07D5A">
        <w:rPr>
          <w:rFonts w:ascii="Verdana" w:hAnsi="Verdana"/>
          <w:sz w:val="20"/>
          <w:szCs w:val="20"/>
        </w:rPr>
        <w:t xml:space="preserve">es </w:t>
      </w:r>
      <w:r w:rsidR="004803C9" w:rsidRPr="00F07D5A">
        <w:rPr>
          <w:rFonts w:ascii="Verdana" w:hAnsi="Verdana"/>
          <w:sz w:val="20"/>
          <w:szCs w:val="20"/>
        </w:rPr>
        <w:t xml:space="preserve">el enfoque </w:t>
      </w:r>
      <w:r w:rsidRPr="00F07D5A">
        <w:rPr>
          <w:rFonts w:ascii="Verdana" w:hAnsi="Verdana"/>
          <w:sz w:val="20"/>
          <w:szCs w:val="20"/>
        </w:rPr>
        <w:t>axiomátic</w:t>
      </w:r>
      <w:r w:rsidR="004803C9" w:rsidRPr="00F07D5A">
        <w:rPr>
          <w:rFonts w:ascii="Verdana" w:hAnsi="Verdana"/>
          <w:sz w:val="20"/>
          <w:szCs w:val="20"/>
        </w:rPr>
        <w:t>o</w:t>
      </w:r>
      <w:r w:rsidRPr="00F07D5A">
        <w:rPr>
          <w:rFonts w:ascii="Verdana" w:hAnsi="Verdana"/>
          <w:sz w:val="20"/>
          <w:szCs w:val="20"/>
        </w:rPr>
        <w:t xml:space="preserve"> </w:t>
      </w:r>
      <w:r w:rsidR="00B35658" w:rsidRPr="00F07D5A">
        <w:rPr>
          <w:rFonts w:ascii="Verdana" w:hAnsi="Verdana"/>
          <w:sz w:val="20"/>
          <w:szCs w:val="20"/>
        </w:rPr>
        <w:t>más efectiv</w:t>
      </w:r>
      <w:r w:rsidR="004803C9" w:rsidRPr="00F07D5A">
        <w:rPr>
          <w:rFonts w:ascii="Verdana" w:hAnsi="Verdana"/>
          <w:sz w:val="20"/>
          <w:szCs w:val="20"/>
        </w:rPr>
        <w:t>o</w:t>
      </w:r>
      <w:r w:rsidR="00B35658" w:rsidRPr="00F07D5A">
        <w:rPr>
          <w:rFonts w:ascii="Verdana" w:hAnsi="Verdana"/>
          <w:sz w:val="20"/>
          <w:szCs w:val="20"/>
        </w:rPr>
        <w:t xml:space="preserve"> para aprender, de un modo sencillo, memorístico y sintético, l</w:t>
      </w:r>
      <w:r w:rsidR="003C3DB6" w:rsidRPr="00F07D5A">
        <w:rPr>
          <w:rFonts w:ascii="Verdana" w:hAnsi="Verdana"/>
          <w:sz w:val="20"/>
          <w:szCs w:val="20"/>
        </w:rPr>
        <w:t xml:space="preserve">as grandes hazañas </w:t>
      </w:r>
      <w:bookmarkStart w:id="0" w:name="_Hlk38809399"/>
      <w:r w:rsidR="00C63188" w:rsidRPr="00F07D5A">
        <w:rPr>
          <w:rFonts w:ascii="Verdana" w:hAnsi="Verdana"/>
          <w:sz w:val="20"/>
          <w:szCs w:val="20"/>
        </w:rPr>
        <w:t xml:space="preserve">«universales» </w:t>
      </w:r>
      <w:bookmarkEnd w:id="0"/>
      <w:r w:rsidR="003C3DB6" w:rsidRPr="00F07D5A">
        <w:rPr>
          <w:rFonts w:ascii="Verdana" w:hAnsi="Verdana"/>
          <w:sz w:val="20"/>
          <w:szCs w:val="20"/>
        </w:rPr>
        <w:t xml:space="preserve">del hombre europeo y sus respectivas implicaciones </w:t>
      </w:r>
      <w:r w:rsidR="00257BAE" w:rsidRPr="00F07D5A">
        <w:rPr>
          <w:rFonts w:ascii="Verdana" w:hAnsi="Verdana"/>
          <w:sz w:val="20"/>
          <w:szCs w:val="20"/>
        </w:rPr>
        <w:t xml:space="preserve">culturales, </w:t>
      </w:r>
      <w:r w:rsidR="003C3DB6" w:rsidRPr="00F07D5A">
        <w:rPr>
          <w:rFonts w:ascii="Verdana" w:hAnsi="Verdana"/>
          <w:sz w:val="20"/>
          <w:szCs w:val="20"/>
        </w:rPr>
        <w:t xml:space="preserve">sociales, económicas y políticas en el resto del mundo. </w:t>
      </w:r>
    </w:p>
    <w:p w14:paraId="1BB8C4EE" w14:textId="3DE1AFEC" w:rsidR="00EC7EED" w:rsidRPr="00F07D5A" w:rsidRDefault="006104AF" w:rsidP="003D1236">
      <w:pPr>
        <w:pStyle w:val="Sinespaciado"/>
        <w:spacing w:line="360" w:lineRule="auto"/>
        <w:jc w:val="both"/>
        <w:rPr>
          <w:sz w:val="20"/>
          <w:szCs w:val="20"/>
        </w:rPr>
      </w:pPr>
      <w:bookmarkStart w:id="1" w:name="_heading=h.6gd8ft6grv4j" w:colFirst="0" w:colLast="0"/>
      <w:bookmarkEnd w:id="1"/>
      <w:r w:rsidRPr="00F07D5A">
        <w:rPr>
          <w:rFonts w:ascii="Verdana" w:hAnsi="Verdana"/>
          <w:sz w:val="20"/>
          <w:szCs w:val="20"/>
        </w:rPr>
        <w:t xml:space="preserve">Un ejemplo de lo anterior se observa en las unidades </w:t>
      </w:r>
      <w:r w:rsidR="007340B4" w:rsidRPr="00F07D5A">
        <w:rPr>
          <w:rFonts w:ascii="Verdana" w:hAnsi="Verdana"/>
          <w:sz w:val="20"/>
          <w:szCs w:val="20"/>
        </w:rPr>
        <w:t>temáticas</w:t>
      </w:r>
      <w:r w:rsidRPr="00F07D5A">
        <w:rPr>
          <w:rFonts w:ascii="Verdana" w:hAnsi="Verdana"/>
          <w:sz w:val="20"/>
          <w:szCs w:val="20"/>
        </w:rPr>
        <w:t xml:space="preserve"> dedicadas </w:t>
      </w:r>
      <w:r w:rsidR="004803C9" w:rsidRPr="00F07D5A">
        <w:rPr>
          <w:rFonts w:ascii="Verdana" w:hAnsi="Verdana"/>
          <w:sz w:val="20"/>
          <w:szCs w:val="20"/>
        </w:rPr>
        <w:t>a</w:t>
      </w:r>
      <w:r w:rsidR="00C63188" w:rsidRPr="00F07D5A">
        <w:rPr>
          <w:rFonts w:ascii="Verdana" w:hAnsi="Verdana"/>
          <w:sz w:val="20"/>
          <w:szCs w:val="20"/>
        </w:rPr>
        <w:t>l</w:t>
      </w:r>
      <w:r w:rsidRPr="00F07D5A">
        <w:rPr>
          <w:rFonts w:ascii="Verdana" w:hAnsi="Verdana"/>
          <w:sz w:val="20"/>
          <w:szCs w:val="20"/>
        </w:rPr>
        <w:t xml:space="preserve"> p</w:t>
      </w:r>
      <w:r w:rsidR="00FB707F" w:rsidRPr="00F07D5A">
        <w:rPr>
          <w:rFonts w:ascii="Verdana" w:hAnsi="Verdana"/>
          <w:sz w:val="20"/>
          <w:szCs w:val="20"/>
        </w:rPr>
        <w:t xml:space="preserve">eriodo </w:t>
      </w:r>
      <w:r w:rsidR="00101C97" w:rsidRPr="00F07D5A">
        <w:rPr>
          <w:rFonts w:ascii="Verdana" w:hAnsi="Verdana"/>
          <w:sz w:val="20"/>
          <w:szCs w:val="20"/>
        </w:rPr>
        <w:t>grecorromano</w:t>
      </w:r>
      <w:r w:rsidR="004803C9" w:rsidRPr="00F07D5A">
        <w:rPr>
          <w:rFonts w:ascii="Verdana" w:hAnsi="Verdana"/>
          <w:sz w:val="20"/>
          <w:szCs w:val="20"/>
        </w:rPr>
        <w:t xml:space="preserve"> (siglo VIII a. C. al siglo V d. C.)</w:t>
      </w:r>
      <w:r w:rsidRPr="00F07D5A">
        <w:rPr>
          <w:rFonts w:ascii="Verdana" w:hAnsi="Verdana"/>
          <w:sz w:val="20"/>
          <w:szCs w:val="20"/>
        </w:rPr>
        <w:t xml:space="preserve">, el cual ha sido tratado mayoritariamente por los textos escolares desde </w:t>
      </w:r>
      <w:r w:rsidR="006A6922" w:rsidRPr="00F07D5A">
        <w:rPr>
          <w:rFonts w:ascii="Verdana" w:hAnsi="Verdana"/>
          <w:sz w:val="20"/>
          <w:szCs w:val="20"/>
        </w:rPr>
        <w:t>la perspectiva androcéntrica</w:t>
      </w:r>
      <w:r w:rsidR="00F07D5A" w:rsidRPr="00F07D5A">
        <w:rPr>
          <w:rFonts w:ascii="Verdana" w:hAnsi="Verdana"/>
          <w:sz w:val="20"/>
          <w:szCs w:val="20"/>
        </w:rPr>
        <w:t xml:space="preserve"> para </w:t>
      </w:r>
      <w:proofErr w:type="spellStart"/>
      <w:r w:rsidR="004803C9" w:rsidRPr="00F07D5A">
        <w:rPr>
          <w:rFonts w:ascii="Verdana" w:hAnsi="Verdana"/>
          <w:sz w:val="20"/>
          <w:szCs w:val="20"/>
        </w:rPr>
        <w:t>invisibilizar</w:t>
      </w:r>
      <w:proofErr w:type="spellEnd"/>
      <w:r w:rsidR="00F07D5A" w:rsidRPr="00F07D5A">
        <w:rPr>
          <w:sz w:val="20"/>
          <w:szCs w:val="20"/>
        </w:rPr>
        <w:t xml:space="preserve"> </w:t>
      </w:r>
      <w:r w:rsidR="004803C9" w:rsidRPr="00F07D5A">
        <w:rPr>
          <w:rFonts w:ascii="Verdana" w:hAnsi="Verdana"/>
          <w:sz w:val="20"/>
          <w:szCs w:val="20"/>
        </w:rPr>
        <w:t xml:space="preserve">el rol histórico de la mujer </w:t>
      </w:r>
      <w:r w:rsidR="00050C6F" w:rsidRPr="00F07D5A">
        <w:rPr>
          <w:rFonts w:ascii="Verdana" w:hAnsi="Verdana"/>
          <w:sz w:val="20"/>
          <w:szCs w:val="20"/>
        </w:rPr>
        <w:t>en</w:t>
      </w:r>
      <w:r w:rsidR="008619A3">
        <w:rPr>
          <w:rFonts w:ascii="Verdana" w:hAnsi="Verdana"/>
          <w:sz w:val="20"/>
          <w:szCs w:val="20"/>
        </w:rPr>
        <w:t xml:space="preserve"> la Antigüedad C</w:t>
      </w:r>
      <w:r w:rsidR="004803C9" w:rsidRPr="00F07D5A">
        <w:rPr>
          <w:rFonts w:ascii="Verdana" w:hAnsi="Verdana"/>
          <w:sz w:val="20"/>
          <w:szCs w:val="20"/>
        </w:rPr>
        <w:t xml:space="preserve">lásica </w:t>
      </w:r>
      <w:r w:rsidR="005F54A3" w:rsidRPr="00F07D5A">
        <w:rPr>
          <w:rFonts w:ascii="Verdana" w:hAnsi="Verdana"/>
          <w:sz w:val="20"/>
          <w:szCs w:val="20"/>
        </w:rPr>
        <w:t>y</w:t>
      </w:r>
      <w:r w:rsidR="004803C9" w:rsidRPr="00F07D5A">
        <w:rPr>
          <w:rFonts w:ascii="Verdana" w:hAnsi="Verdana"/>
          <w:sz w:val="20"/>
          <w:szCs w:val="20"/>
        </w:rPr>
        <w:t xml:space="preserve"> </w:t>
      </w:r>
      <w:r w:rsidR="005F54A3" w:rsidRPr="00F07D5A">
        <w:rPr>
          <w:rFonts w:ascii="Verdana" w:hAnsi="Verdana"/>
          <w:sz w:val="20"/>
          <w:szCs w:val="20"/>
        </w:rPr>
        <w:t>p</w:t>
      </w:r>
      <w:r w:rsidR="007340B4" w:rsidRPr="00F07D5A">
        <w:rPr>
          <w:rFonts w:ascii="Verdana" w:hAnsi="Verdana"/>
          <w:sz w:val="20"/>
          <w:szCs w:val="20"/>
        </w:rPr>
        <w:t>r</w:t>
      </w:r>
      <w:r w:rsidR="003018B3" w:rsidRPr="00F07D5A">
        <w:rPr>
          <w:rFonts w:ascii="Verdana" w:hAnsi="Verdana"/>
          <w:sz w:val="20"/>
          <w:szCs w:val="20"/>
        </w:rPr>
        <w:t>omover</w:t>
      </w:r>
      <w:r w:rsidR="005F54A3" w:rsidRPr="00F07D5A">
        <w:rPr>
          <w:rFonts w:ascii="Verdana" w:hAnsi="Verdana"/>
          <w:sz w:val="20"/>
          <w:szCs w:val="20"/>
        </w:rPr>
        <w:t xml:space="preserve"> </w:t>
      </w:r>
      <w:r w:rsidR="007340B4" w:rsidRPr="00F07D5A">
        <w:rPr>
          <w:rFonts w:ascii="Verdana" w:hAnsi="Verdana"/>
          <w:sz w:val="20"/>
          <w:szCs w:val="20"/>
        </w:rPr>
        <w:t>el estudio de</w:t>
      </w:r>
      <w:r w:rsidR="00E35DC6" w:rsidRPr="00F07D5A">
        <w:rPr>
          <w:rFonts w:ascii="Verdana" w:hAnsi="Verdana"/>
          <w:sz w:val="20"/>
          <w:szCs w:val="20"/>
        </w:rPr>
        <w:t xml:space="preserve"> la cultura grecorromana </w:t>
      </w:r>
      <w:r w:rsidR="003018B3" w:rsidRPr="00F07D5A">
        <w:rPr>
          <w:rFonts w:ascii="Verdana" w:hAnsi="Verdana"/>
          <w:sz w:val="20"/>
          <w:szCs w:val="20"/>
        </w:rPr>
        <w:t xml:space="preserve">según la visión </w:t>
      </w:r>
      <w:proofErr w:type="spellStart"/>
      <w:r w:rsidR="00104B30" w:rsidRPr="00F07D5A">
        <w:rPr>
          <w:rFonts w:ascii="Verdana" w:hAnsi="Verdana"/>
          <w:sz w:val="20"/>
          <w:szCs w:val="20"/>
        </w:rPr>
        <w:t>adultocéntrica</w:t>
      </w:r>
      <w:proofErr w:type="spellEnd"/>
      <w:r w:rsidR="00AA073C" w:rsidRPr="00F07D5A">
        <w:rPr>
          <w:rFonts w:ascii="Verdana" w:hAnsi="Verdana"/>
          <w:sz w:val="20"/>
          <w:szCs w:val="20"/>
        </w:rPr>
        <w:t xml:space="preserve"> de la época</w:t>
      </w:r>
      <w:r w:rsidRPr="00F07D5A">
        <w:rPr>
          <w:rFonts w:ascii="Verdana" w:hAnsi="Verdana"/>
          <w:sz w:val="20"/>
          <w:szCs w:val="20"/>
        </w:rPr>
        <w:t>. Por tal motivo, no es extraño que la historia escolar</w:t>
      </w:r>
      <w:r w:rsidR="006D5822" w:rsidRPr="00F07D5A">
        <w:rPr>
          <w:rFonts w:ascii="Verdana" w:hAnsi="Verdana"/>
          <w:sz w:val="20"/>
          <w:szCs w:val="20"/>
        </w:rPr>
        <w:t xml:space="preserve"> </w:t>
      </w:r>
      <w:r w:rsidRPr="00F07D5A">
        <w:rPr>
          <w:rFonts w:ascii="Verdana" w:hAnsi="Verdana"/>
          <w:sz w:val="20"/>
          <w:szCs w:val="20"/>
        </w:rPr>
        <w:t xml:space="preserve">destaque a figuras como </w:t>
      </w:r>
      <w:r w:rsidR="004F57EE" w:rsidRPr="00F07D5A">
        <w:rPr>
          <w:rFonts w:ascii="Verdana" w:hAnsi="Verdana"/>
          <w:sz w:val="20"/>
          <w:szCs w:val="20"/>
        </w:rPr>
        <w:t>Solón, Pericles</w:t>
      </w:r>
      <w:r w:rsidR="00050C6F" w:rsidRPr="00F07D5A">
        <w:rPr>
          <w:rFonts w:ascii="Verdana" w:hAnsi="Verdana"/>
          <w:sz w:val="20"/>
          <w:szCs w:val="20"/>
        </w:rPr>
        <w:t>, Aristóteles y Cicerón</w:t>
      </w:r>
      <w:r w:rsidR="004F57EE" w:rsidRPr="00F07D5A">
        <w:rPr>
          <w:rFonts w:ascii="Verdana" w:hAnsi="Verdana"/>
          <w:sz w:val="20"/>
          <w:szCs w:val="20"/>
        </w:rPr>
        <w:t xml:space="preserve"> </w:t>
      </w:r>
      <w:r w:rsidRPr="00F07D5A">
        <w:rPr>
          <w:rFonts w:ascii="Verdana" w:hAnsi="Verdana"/>
          <w:sz w:val="20"/>
          <w:szCs w:val="20"/>
        </w:rPr>
        <w:t xml:space="preserve">e ignore </w:t>
      </w:r>
      <w:r w:rsidR="007340B4" w:rsidRPr="00F07D5A">
        <w:rPr>
          <w:rFonts w:ascii="Verdana" w:hAnsi="Verdana"/>
          <w:sz w:val="20"/>
          <w:szCs w:val="20"/>
        </w:rPr>
        <w:t xml:space="preserve">a importantes </w:t>
      </w:r>
      <w:r w:rsidRPr="00F07D5A">
        <w:rPr>
          <w:rFonts w:ascii="Verdana" w:hAnsi="Verdana"/>
          <w:sz w:val="20"/>
          <w:szCs w:val="20"/>
        </w:rPr>
        <w:t xml:space="preserve">mujeres como </w:t>
      </w:r>
      <w:r w:rsidR="004F57EE" w:rsidRPr="00F07D5A">
        <w:rPr>
          <w:rFonts w:ascii="Verdana" w:hAnsi="Verdana"/>
          <w:sz w:val="20"/>
          <w:szCs w:val="20"/>
        </w:rPr>
        <w:t xml:space="preserve">la astrónoma </w:t>
      </w:r>
      <w:proofErr w:type="spellStart"/>
      <w:r w:rsidR="004F57EE" w:rsidRPr="00F07D5A">
        <w:rPr>
          <w:rFonts w:ascii="Verdana" w:hAnsi="Verdana"/>
          <w:sz w:val="20"/>
          <w:szCs w:val="20"/>
        </w:rPr>
        <w:t>Aglaonice</w:t>
      </w:r>
      <w:proofErr w:type="spellEnd"/>
      <w:r w:rsidR="004F57EE" w:rsidRPr="00F07D5A">
        <w:rPr>
          <w:rFonts w:ascii="Verdana" w:hAnsi="Verdana"/>
          <w:sz w:val="20"/>
          <w:szCs w:val="20"/>
        </w:rPr>
        <w:t xml:space="preserve">, la filósofa </w:t>
      </w:r>
      <w:proofErr w:type="spellStart"/>
      <w:r w:rsidR="004F57EE" w:rsidRPr="00F07D5A">
        <w:rPr>
          <w:rFonts w:ascii="Verdana" w:hAnsi="Verdana"/>
          <w:sz w:val="20"/>
          <w:szCs w:val="20"/>
        </w:rPr>
        <w:t>Lastenia</w:t>
      </w:r>
      <w:proofErr w:type="spellEnd"/>
      <w:r w:rsidR="004F57EE" w:rsidRPr="00F07D5A">
        <w:rPr>
          <w:rFonts w:ascii="Verdana" w:hAnsi="Verdana"/>
          <w:sz w:val="20"/>
          <w:szCs w:val="20"/>
        </w:rPr>
        <w:t xml:space="preserve"> de </w:t>
      </w:r>
      <w:proofErr w:type="spellStart"/>
      <w:r w:rsidR="004F57EE" w:rsidRPr="00F07D5A">
        <w:rPr>
          <w:rFonts w:ascii="Verdana" w:hAnsi="Verdana"/>
          <w:sz w:val="20"/>
          <w:szCs w:val="20"/>
        </w:rPr>
        <w:t>Mantinea</w:t>
      </w:r>
      <w:proofErr w:type="spellEnd"/>
      <w:r w:rsidR="004F57EE" w:rsidRPr="00F07D5A">
        <w:rPr>
          <w:rFonts w:ascii="Verdana" w:hAnsi="Verdana"/>
          <w:sz w:val="20"/>
          <w:szCs w:val="20"/>
        </w:rPr>
        <w:t xml:space="preserve"> y la matemática </w:t>
      </w:r>
      <w:proofErr w:type="spellStart"/>
      <w:r w:rsidR="004F57EE" w:rsidRPr="00F07D5A">
        <w:rPr>
          <w:rFonts w:ascii="Verdana" w:hAnsi="Verdana"/>
          <w:sz w:val="20"/>
          <w:szCs w:val="20"/>
        </w:rPr>
        <w:t>Hipatia</w:t>
      </w:r>
      <w:proofErr w:type="spellEnd"/>
      <w:r w:rsidR="004F57EE" w:rsidRPr="00F07D5A">
        <w:rPr>
          <w:rFonts w:ascii="Verdana" w:hAnsi="Verdana"/>
          <w:sz w:val="20"/>
          <w:szCs w:val="20"/>
        </w:rPr>
        <w:t xml:space="preserve"> de Alejandría</w:t>
      </w:r>
      <w:r w:rsidR="000356B3" w:rsidRPr="00F07D5A">
        <w:rPr>
          <w:rFonts w:ascii="Verdana" w:hAnsi="Verdana"/>
          <w:sz w:val="20"/>
          <w:szCs w:val="20"/>
        </w:rPr>
        <w:t>.</w:t>
      </w:r>
      <w:r w:rsidR="004F6B57" w:rsidRPr="00F07D5A">
        <w:rPr>
          <w:sz w:val="20"/>
          <w:szCs w:val="20"/>
        </w:rPr>
        <w:t xml:space="preserve"> </w:t>
      </w:r>
    </w:p>
    <w:p w14:paraId="4CD78541" w14:textId="25E43EB3" w:rsidR="000520F2" w:rsidRPr="00F07D5A" w:rsidRDefault="000520F2" w:rsidP="000520F2">
      <w:pPr>
        <w:pStyle w:val="Sinespaciado"/>
        <w:spacing w:line="360" w:lineRule="auto"/>
        <w:jc w:val="both"/>
        <w:rPr>
          <w:rFonts w:ascii="Verdana" w:hAnsi="Verdana"/>
          <w:sz w:val="20"/>
          <w:szCs w:val="20"/>
        </w:rPr>
      </w:pPr>
      <w:r w:rsidRPr="00F07D5A">
        <w:rPr>
          <w:rFonts w:ascii="Verdana" w:hAnsi="Verdana"/>
          <w:sz w:val="20"/>
          <w:szCs w:val="20"/>
        </w:rPr>
        <w:t xml:space="preserve">El predominio de dicho discurso en los </w:t>
      </w:r>
      <w:r w:rsidR="007A254A" w:rsidRPr="00F07D5A">
        <w:rPr>
          <w:rFonts w:ascii="Verdana" w:hAnsi="Verdana"/>
          <w:sz w:val="20"/>
          <w:szCs w:val="20"/>
        </w:rPr>
        <w:t xml:space="preserve">manuales </w:t>
      </w:r>
      <w:r w:rsidRPr="00F07D5A">
        <w:rPr>
          <w:rFonts w:ascii="Verdana" w:hAnsi="Verdana"/>
          <w:sz w:val="20"/>
          <w:szCs w:val="20"/>
        </w:rPr>
        <w:t>chilenos responde a las disposiciones del MINEDUC y a los lineamientos positivistas qu</w:t>
      </w:r>
      <w:r w:rsidR="00B2582F">
        <w:rPr>
          <w:rFonts w:ascii="Verdana" w:hAnsi="Verdana"/>
          <w:sz w:val="20"/>
          <w:szCs w:val="20"/>
        </w:rPr>
        <w:t>e todavía los rigen. Siguiendo a</w:t>
      </w:r>
      <w:r w:rsidRPr="00F07D5A">
        <w:rPr>
          <w:rFonts w:ascii="Verdana" w:hAnsi="Verdana"/>
          <w:sz w:val="20"/>
          <w:szCs w:val="20"/>
        </w:rPr>
        <w:t xml:space="preserve"> Rodríguez y Solé (2018), esto último se constata en la programación de sus unidades temáticas que se realiza en función de una periodización tradicional de la historia protagonizada por el hombre europeo (Historia Antigua, Medieval, Moderna y Contemporánea); a su vez, también se observa en la supresión de la mayor parte de los avances historiográficos que reivindican el rol histórico de la mujer. </w:t>
      </w:r>
    </w:p>
    <w:p w14:paraId="58B653DB" w14:textId="201FFF29" w:rsidR="000520F2" w:rsidRPr="00F07D5A" w:rsidRDefault="007A254A" w:rsidP="003D1236">
      <w:pPr>
        <w:pStyle w:val="Sinespaciado"/>
        <w:spacing w:line="360" w:lineRule="auto"/>
        <w:jc w:val="both"/>
        <w:rPr>
          <w:rFonts w:ascii="Verdana" w:hAnsi="Verdana"/>
          <w:sz w:val="20"/>
          <w:szCs w:val="20"/>
        </w:rPr>
      </w:pPr>
      <w:r w:rsidRPr="00F07D5A">
        <w:rPr>
          <w:rFonts w:ascii="Verdana" w:hAnsi="Verdana"/>
          <w:sz w:val="20"/>
          <w:szCs w:val="20"/>
        </w:rPr>
        <w:t>En vista de lo anterior</w:t>
      </w:r>
      <w:r w:rsidR="000520F2" w:rsidRPr="00F07D5A">
        <w:rPr>
          <w:rFonts w:ascii="Verdana" w:hAnsi="Verdana"/>
          <w:sz w:val="20"/>
          <w:szCs w:val="20"/>
        </w:rPr>
        <w:t xml:space="preserve">, </w:t>
      </w:r>
      <w:r w:rsidR="00997A10" w:rsidRPr="00F07D5A">
        <w:rPr>
          <w:rFonts w:ascii="Verdana" w:hAnsi="Verdana"/>
          <w:sz w:val="20"/>
          <w:szCs w:val="20"/>
        </w:rPr>
        <w:t xml:space="preserve">resulta indispensable </w:t>
      </w:r>
      <w:r w:rsidR="000520F2" w:rsidRPr="00F07D5A">
        <w:rPr>
          <w:rFonts w:ascii="Verdana" w:hAnsi="Verdana"/>
          <w:sz w:val="20"/>
          <w:szCs w:val="20"/>
        </w:rPr>
        <w:t xml:space="preserve">que el </w:t>
      </w:r>
      <w:r w:rsidR="00DC29D1">
        <w:rPr>
          <w:rFonts w:ascii="Verdana" w:hAnsi="Verdana"/>
          <w:sz w:val="20"/>
          <w:szCs w:val="20"/>
        </w:rPr>
        <w:t>docente cuestione, en forma frecuente,</w:t>
      </w:r>
      <w:r w:rsidR="000520F2" w:rsidRPr="00F07D5A">
        <w:rPr>
          <w:rFonts w:ascii="Verdana" w:hAnsi="Verdana"/>
          <w:sz w:val="20"/>
          <w:szCs w:val="20"/>
        </w:rPr>
        <w:t xml:space="preserve"> el texto escolar para det</w:t>
      </w:r>
      <w:r w:rsidR="006A6922" w:rsidRPr="00F07D5A">
        <w:rPr>
          <w:rFonts w:ascii="Verdana" w:hAnsi="Verdana"/>
          <w:sz w:val="20"/>
          <w:szCs w:val="20"/>
        </w:rPr>
        <w:t>ectar los sesgos androcéntricos</w:t>
      </w:r>
      <w:r w:rsidR="000520F2" w:rsidRPr="00F07D5A">
        <w:rPr>
          <w:rFonts w:ascii="Verdana" w:hAnsi="Verdana"/>
          <w:sz w:val="20"/>
          <w:szCs w:val="20"/>
        </w:rPr>
        <w:t xml:space="preserve"> presentes en el discurso, ya que solo así se podrá promover el pensamiento histórico y evitar que los estudiantes desarrollen un aprendizaje pasivo y memorístico. Esto </w:t>
      </w:r>
      <w:r w:rsidR="00AC613D">
        <w:rPr>
          <w:rFonts w:ascii="Verdana" w:hAnsi="Verdana"/>
          <w:sz w:val="20"/>
          <w:szCs w:val="20"/>
        </w:rPr>
        <w:t xml:space="preserve">siempre </w:t>
      </w:r>
      <w:r w:rsidR="000520F2" w:rsidRPr="00F07D5A">
        <w:rPr>
          <w:rFonts w:ascii="Verdana" w:hAnsi="Verdana"/>
          <w:sz w:val="20"/>
          <w:szCs w:val="20"/>
        </w:rPr>
        <w:t>conlleva un proceso de decodifica</w:t>
      </w:r>
      <w:r w:rsidR="00AC613D">
        <w:rPr>
          <w:rFonts w:ascii="Verdana" w:hAnsi="Verdana"/>
          <w:sz w:val="20"/>
          <w:szCs w:val="20"/>
        </w:rPr>
        <w:t>ción que puede permitir reelaborar</w:t>
      </w:r>
      <w:r w:rsidR="000520F2" w:rsidRPr="00F07D5A">
        <w:rPr>
          <w:rFonts w:ascii="Verdana" w:hAnsi="Verdana"/>
          <w:sz w:val="20"/>
          <w:szCs w:val="20"/>
        </w:rPr>
        <w:t xml:space="preserve"> los mensajes oficiales</w:t>
      </w:r>
      <w:r w:rsidR="00AC613D">
        <w:rPr>
          <w:rFonts w:ascii="Verdana" w:hAnsi="Verdana"/>
          <w:sz w:val="20"/>
          <w:szCs w:val="20"/>
        </w:rPr>
        <w:t xml:space="preserve"> y </w:t>
      </w:r>
      <w:r w:rsidR="004257C7">
        <w:rPr>
          <w:rFonts w:ascii="Verdana" w:hAnsi="Verdana"/>
          <w:sz w:val="20"/>
          <w:szCs w:val="20"/>
        </w:rPr>
        <w:t>proponer</w:t>
      </w:r>
      <w:r w:rsidR="000520F2" w:rsidRPr="00F07D5A">
        <w:rPr>
          <w:rFonts w:ascii="Verdana" w:hAnsi="Verdana"/>
          <w:sz w:val="20"/>
          <w:szCs w:val="20"/>
        </w:rPr>
        <w:t xml:space="preserve"> lecturas alternativas que posibiliten la incorporación de la perspectiva de género en el análisis de los procesos históricos.</w:t>
      </w:r>
    </w:p>
    <w:p w14:paraId="3AE508EF" w14:textId="7715C33A" w:rsidR="00EC7EED" w:rsidRPr="00F07D5A" w:rsidRDefault="006104AF" w:rsidP="003D1236">
      <w:pPr>
        <w:pStyle w:val="Sinespaciado"/>
        <w:spacing w:line="360" w:lineRule="auto"/>
        <w:jc w:val="both"/>
        <w:rPr>
          <w:rFonts w:ascii="Verdana" w:hAnsi="Verdana"/>
          <w:sz w:val="20"/>
          <w:szCs w:val="20"/>
        </w:rPr>
      </w:pPr>
      <w:r w:rsidRPr="00F07D5A">
        <w:rPr>
          <w:rFonts w:ascii="Verdana" w:hAnsi="Verdana"/>
          <w:sz w:val="20"/>
          <w:szCs w:val="20"/>
        </w:rPr>
        <w:lastRenderedPageBreak/>
        <w:t xml:space="preserve">Con el fin de repensar las finalidades formativas de la historia escolar y </w:t>
      </w:r>
      <w:r w:rsidR="006A6922" w:rsidRPr="00F07D5A">
        <w:rPr>
          <w:rFonts w:ascii="Verdana" w:hAnsi="Verdana"/>
          <w:sz w:val="20"/>
          <w:szCs w:val="20"/>
        </w:rPr>
        <w:t xml:space="preserve">de </w:t>
      </w:r>
      <w:r w:rsidR="00BD4E2A" w:rsidRPr="00F07D5A">
        <w:rPr>
          <w:rFonts w:ascii="Verdana" w:hAnsi="Verdana"/>
          <w:sz w:val="20"/>
          <w:szCs w:val="20"/>
        </w:rPr>
        <w:t xml:space="preserve">cuestionar la </w:t>
      </w:r>
      <w:proofErr w:type="spellStart"/>
      <w:r w:rsidR="00BD4E2A" w:rsidRPr="00F07D5A">
        <w:rPr>
          <w:rFonts w:ascii="Verdana" w:hAnsi="Verdana"/>
          <w:sz w:val="20"/>
          <w:szCs w:val="20"/>
        </w:rPr>
        <w:t>invisibilización</w:t>
      </w:r>
      <w:proofErr w:type="spellEnd"/>
      <w:r w:rsidR="00BD4E2A" w:rsidRPr="00F07D5A">
        <w:rPr>
          <w:rFonts w:ascii="Verdana" w:hAnsi="Verdana"/>
          <w:sz w:val="20"/>
          <w:szCs w:val="20"/>
        </w:rPr>
        <w:t xml:space="preserve"> de</w:t>
      </w:r>
      <w:r w:rsidRPr="00F07D5A">
        <w:rPr>
          <w:rFonts w:ascii="Verdana" w:hAnsi="Verdana"/>
          <w:sz w:val="20"/>
          <w:szCs w:val="20"/>
        </w:rPr>
        <w:t xml:space="preserve"> </w:t>
      </w:r>
      <w:r w:rsidR="006D5822" w:rsidRPr="00F07D5A">
        <w:rPr>
          <w:rFonts w:ascii="Verdana" w:hAnsi="Verdana"/>
          <w:sz w:val="20"/>
          <w:szCs w:val="20"/>
        </w:rPr>
        <w:t>la actuación femenina</w:t>
      </w:r>
      <w:r w:rsidR="00582FC4" w:rsidRPr="00F07D5A">
        <w:rPr>
          <w:rFonts w:ascii="Verdana" w:hAnsi="Verdana"/>
          <w:sz w:val="20"/>
          <w:szCs w:val="20"/>
        </w:rPr>
        <w:t xml:space="preserve"> en la </w:t>
      </w:r>
      <w:r w:rsidR="004F57EE" w:rsidRPr="00F07D5A">
        <w:rPr>
          <w:rFonts w:ascii="Verdana" w:hAnsi="Verdana"/>
          <w:sz w:val="20"/>
          <w:szCs w:val="20"/>
        </w:rPr>
        <w:t>Grecia y Roma Antigua</w:t>
      </w:r>
      <w:r w:rsidRPr="00F07D5A">
        <w:rPr>
          <w:rFonts w:ascii="Verdana" w:hAnsi="Verdana"/>
          <w:sz w:val="20"/>
          <w:szCs w:val="20"/>
        </w:rPr>
        <w:t xml:space="preserve">, se analizan </w:t>
      </w:r>
      <w:r w:rsidR="006D5822" w:rsidRPr="00F07D5A">
        <w:rPr>
          <w:rFonts w:ascii="Verdana" w:hAnsi="Verdana"/>
          <w:sz w:val="20"/>
          <w:szCs w:val="20"/>
        </w:rPr>
        <w:t>en est</w:t>
      </w:r>
      <w:r w:rsidR="00582FC4" w:rsidRPr="00F07D5A">
        <w:rPr>
          <w:rFonts w:ascii="Verdana" w:hAnsi="Verdana"/>
          <w:sz w:val="20"/>
          <w:szCs w:val="20"/>
        </w:rPr>
        <w:t>e artículo</w:t>
      </w:r>
      <w:r w:rsidR="006D5822" w:rsidRPr="00F07D5A">
        <w:rPr>
          <w:rFonts w:ascii="Verdana" w:hAnsi="Verdana"/>
          <w:sz w:val="20"/>
          <w:szCs w:val="20"/>
        </w:rPr>
        <w:t xml:space="preserve"> </w:t>
      </w:r>
      <w:r w:rsidRPr="00F07D5A">
        <w:rPr>
          <w:rFonts w:ascii="Verdana" w:hAnsi="Verdana"/>
          <w:sz w:val="20"/>
          <w:szCs w:val="20"/>
        </w:rPr>
        <w:t xml:space="preserve">las representaciones </w:t>
      </w:r>
      <w:r w:rsidR="00C84E27">
        <w:rPr>
          <w:rFonts w:ascii="Verdana" w:hAnsi="Verdana"/>
          <w:sz w:val="20"/>
          <w:szCs w:val="20"/>
        </w:rPr>
        <w:t xml:space="preserve">de género </w:t>
      </w:r>
      <w:r w:rsidRPr="00F07D5A">
        <w:rPr>
          <w:rFonts w:ascii="Verdana" w:hAnsi="Verdana"/>
          <w:sz w:val="20"/>
          <w:szCs w:val="20"/>
        </w:rPr>
        <w:t>presentes en los</w:t>
      </w:r>
      <w:r w:rsidR="00866E74" w:rsidRPr="00F07D5A">
        <w:rPr>
          <w:rFonts w:ascii="Verdana" w:hAnsi="Verdana"/>
          <w:sz w:val="20"/>
          <w:szCs w:val="20"/>
        </w:rPr>
        <w:t xml:space="preserve"> </w:t>
      </w:r>
      <w:r w:rsidR="007A254A" w:rsidRPr="00F07D5A">
        <w:rPr>
          <w:rFonts w:ascii="Verdana" w:hAnsi="Verdana"/>
          <w:sz w:val="20"/>
          <w:szCs w:val="20"/>
        </w:rPr>
        <w:t xml:space="preserve">libros de texto </w:t>
      </w:r>
      <w:r w:rsidRPr="00F07D5A">
        <w:rPr>
          <w:rFonts w:ascii="Verdana" w:hAnsi="Verdana"/>
          <w:sz w:val="20"/>
          <w:szCs w:val="20"/>
        </w:rPr>
        <w:t xml:space="preserve">que </w:t>
      </w:r>
      <w:r w:rsidR="00582FC4" w:rsidRPr="00F07D5A">
        <w:rPr>
          <w:rFonts w:ascii="Verdana" w:hAnsi="Verdana"/>
          <w:sz w:val="20"/>
          <w:szCs w:val="20"/>
        </w:rPr>
        <w:t xml:space="preserve">abordan </w:t>
      </w:r>
      <w:r w:rsidR="004F57EE" w:rsidRPr="00F07D5A">
        <w:rPr>
          <w:rFonts w:ascii="Verdana" w:hAnsi="Verdana"/>
          <w:sz w:val="20"/>
          <w:szCs w:val="20"/>
        </w:rPr>
        <w:t>el periodo grecorromano</w:t>
      </w:r>
      <w:r w:rsidRPr="00F07D5A">
        <w:rPr>
          <w:rFonts w:ascii="Verdana" w:hAnsi="Verdana"/>
          <w:sz w:val="20"/>
          <w:szCs w:val="20"/>
        </w:rPr>
        <w:t>. Para</w:t>
      </w:r>
      <w:r w:rsidR="00050C6F" w:rsidRPr="00F07D5A">
        <w:rPr>
          <w:rFonts w:ascii="Verdana" w:hAnsi="Verdana"/>
          <w:sz w:val="20"/>
          <w:szCs w:val="20"/>
        </w:rPr>
        <w:t xml:space="preserve"> desarrollar</w:t>
      </w:r>
      <w:r w:rsidRPr="00F07D5A">
        <w:rPr>
          <w:rFonts w:ascii="Verdana" w:hAnsi="Verdana"/>
          <w:sz w:val="20"/>
          <w:szCs w:val="20"/>
        </w:rPr>
        <w:t xml:space="preserve"> </w:t>
      </w:r>
      <w:r w:rsidR="00050C6F" w:rsidRPr="00F07D5A">
        <w:rPr>
          <w:rFonts w:ascii="Verdana" w:hAnsi="Verdana"/>
          <w:sz w:val="20"/>
          <w:szCs w:val="20"/>
        </w:rPr>
        <w:t>este</w:t>
      </w:r>
      <w:r w:rsidRPr="00F07D5A">
        <w:rPr>
          <w:rFonts w:ascii="Verdana" w:hAnsi="Verdana"/>
          <w:sz w:val="20"/>
          <w:szCs w:val="20"/>
        </w:rPr>
        <w:t xml:space="preserve"> objetivo, se llevó a cabo un análisis</w:t>
      </w:r>
      <w:r w:rsidR="008E63EE" w:rsidRPr="00F07D5A">
        <w:rPr>
          <w:rFonts w:ascii="Verdana" w:hAnsi="Verdana"/>
          <w:sz w:val="20"/>
          <w:szCs w:val="20"/>
        </w:rPr>
        <w:t xml:space="preserve"> crítico del discurso </w:t>
      </w:r>
      <w:r w:rsidRPr="00F07D5A">
        <w:rPr>
          <w:rFonts w:ascii="Verdana" w:hAnsi="Verdana"/>
          <w:sz w:val="20"/>
          <w:szCs w:val="20"/>
        </w:rPr>
        <w:t xml:space="preserve">de </w:t>
      </w:r>
      <w:r w:rsidR="004F57EE" w:rsidRPr="00F07D5A">
        <w:rPr>
          <w:rFonts w:ascii="Verdana" w:hAnsi="Verdana"/>
          <w:sz w:val="20"/>
          <w:szCs w:val="20"/>
        </w:rPr>
        <w:t>dos</w:t>
      </w:r>
      <w:r w:rsidRPr="00F07D5A">
        <w:rPr>
          <w:rFonts w:ascii="Verdana" w:hAnsi="Verdana"/>
          <w:sz w:val="20"/>
          <w:szCs w:val="20"/>
        </w:rPr>
        <w:t xml:space="preserve"> manuales publicados </w:t>
      </w:r>
      <w:r w:rsidR="00D97634">
        <w:rPr>
          <w:rFonts w:ascii="Verdana" w:hAnsi="Verdana"/>
          <w:sz w:val="20"/>
          <w:szCs w:val="20"/>
        </w:rPr>
        <w:t>por</w:t>
      </w:r>
      <w:r w:rsidRPr="00F07D5A">
        <w:rPr>
          <w:rFonts w:ascii="Verdana" w:hAnsi="Verdana"/>
          <w:sz w:val="20"/>
          <w:szCs w:val="20"/>
        </w:rPr>
        <w:t xml:space="preserve"> </w:t>
      </w:r>
      <w:r w:rsidR="006D5822" w:rsidRPr="00F07D5A">
        <w:rPr>
          <w:rFonts w:ascii="Verdana" w:hAnsi="Verdana"/>
          <w:sz w:val="20"/>
          <w:szCs w:val="20"/>
        </w:rPr>
        <w:t>la</w:t>
      </w:r>
      <w:r w:rsidRPr="00F07D5A">
        <w:rPr>
          <w:rFonts w:ascii="Verdana" w:hAnsi="Verdana"/>
          <w:sz w:val="20"/>
          <w:szCs w:val="20"/>
        </w:rPr>
        <w:t xml:space="preserve"> editorial SM.</w:t>
      </w:r>
    </w:p>
    <w:p w14:paraId="0886A232" w14:textId="5B1083C8" w:rsidR="00854852" w:rsidRDefault="00854852" w:rsidP="003D1236">
      <w:pPr>
        <w:pStyle w:val="Sinespaciado"/>
        <w:spacing w:line="360" w:lineRule="auto"/>
        <w:jc w:val="both"/>
        <w:rPr>
          <w:rFonts w:ascii="Verdana" w:hAnsi="Verdana"/>
          <w:sz w:val="20"/>
          <w:szCs w:val="20"/>
        </w:rPr>
      </w:pPr>
    </w:p>
    <w:p w14:paraId="35B722D4" w14:textId="6862AC33" w:rsidR="00EC7EED" w:rsidRPr="006149BE" w:rsidRDefault="006B561F" w:rsidP="003D1236">
      <w:pPr>
        <w:pStyle w:val="Sinespaciado"/>
        <w:spacing w:line="360" w:lineRule="auto"/>
        <w:jc w:val="both"/>
        <w:rPr>
          <w:rFonts w:ascii="Verdana" w:hAnsi="Verdana"/>
          <w:b/>
          <w:iCs/>
          <w:sz w:val="20"/>
          <w:szCs w:val="20"/>
        </w:rPr>
      </w:pPr>
      <w:r w:rsidRPr="006149BE">
        <w:rPr>
          <w:rFonts w:ascii="Verdana" w:hAnsi="Verdana"/>
          <w:b/>
          <w:iCs/>
          <w:sz w:val="20"/>
          <w:szCs w:val="20"/>
        </w:rPr>
        <w:t>MATERIALES Y MÉTODOS</w:t>
      </w:r>
    </w:p>
    <w:p w14:paraId="6C6A2D02" w14:textId="77777777" w:rsidR="0016464F" w:rsidRPr="006149BE" w:rsidRDefault="0016464F" w:rsidP="003D1236">
      <w:pPr>
        <w:pStyle w:val="Sinespaciado"/>
        <w:spacing w:line="360" w:lineRule="auto"/>
        <w:jc w:val="both"/>
        <w:rPr>
          <w:rFonts w:ascii="Verdana" w:hAnsi="Verdana"/>
          <w:iCs/>
          <w:sz w:val="20"/>
          <w:szCs w:val="20"/>
        </w:rPr>
      </w:pPr>
    </w:p>
    <w:p w14:paraId="500386D1" w14:textId="03C1F53D" w:rsidR="005C676C" w:rsidRPr="006149BE" w:rsidRDefault="00526243" w:rsidP="003D1236">
      <w:pPr>
        <w:pStyle w:val="Sinespaciado"/>
        <w:spacing w:line="360" w:lineRule="auto"/>
        <w:jc w:val="both"/>
        <w:rPr>
          <w:rFonts w:ascii="Verdana" w:hAnsi="Verdana"/>
          <w:sz w:val="20"/>
          <w:szCs w:val="20"/>
        </w:rPr>
      </w:pPr>
      <w:r w:rsidRPr="006149BE">
        <w:rPr>
          <w:rFonts w:ascii="Verdana" w:hAnsi="Verdana"/>
          <w:sz w:val="20"/>
          <w:szCs w:val="20"/>
        </w:rPr>
        <w:t>E</w:t>
      </w:r>
      <w:r w:rsidR="0016464F" w:rsidRPr="006149BE">
        <w:rPr>
          <w:rFonts w:ascii="Verdana" w:hAnsi="Verdana"/>
          <w:sz w:val="20"/>
          <w:szCs w:val="20"/>
        </w:rPr>
        <w:t>ste</w:t>
      </w:r>
      <w:r w:rsidRPr="006149BE">
        <w:rPr>
          <w:rFonts w:ascii="Verdana" w:hAnsi="Verdana"/>
          <w:sz w:val="20"/>
          <w:szCs w:val="20"/>
        </w:rPr>
        <w:t xml:space="preserve"> estudio se basa en una metodología cualitativa</w:t>
      </w:r>
      <w:r w:rsidR="009F6FD9" w:rsidRPr="006149BE">
        <w:rPr>
          <w:rFonts w:ascii="Verdana" w:hAnsi="Verdana"/>
          <w:sz w:val="20"/>
          <w:szCs w:val="20"/>
        </w:rPr>
        <w:t xml:space="preserve">, de carácter exploratorio, descriptivo y </w:t>
      </w:r>
      <w:proofErr w:type="spellStart"/>
      <w:r w:rsidR="009F6FD9" w:rsidRPr="006149BE">
        <w:rPr>
          <w:rFonts w:ascii="Verdana" w:hAnsi="Verdana"/>
          <w:sz w:val="20"/>
          <w:szCs w:val="20"/>
        </w:rPr>
        <w:t>transeccional</w:t>
      </w:r>
      <w:proofErr w:type="spellEnd"/>
      <w:r w:rsidRPr="006149BE">
        <w:rPr>
          <w:rFonts w:ascii="Verdana" w:hAnsi="Verdana"/>
          <w:sz w:val="20"/>
          <w:szCs w:val="20"/>
        </w:rPr>
        <w:t>, cuyo</w:t>
      </w:r>
      <w:r w:rsidR="009F6FD9" w:rsidRPr="006149BE">
        <w:rPr>
          <w:rFonts w:ascii="Verdana" w:hAnsi="Verdana"/>
          <w:sz w:val="20"/>
          <w:szCs w:val="20"/>
        </w:rPr>
        <w:t xml:space="preserve"> </w:t>
      </w:r>
      <w:r w:rsidR="00F254BE" w:rsidRPr="006149BE">
        <w:rPr>
          <w:rFonts w:ascii="Verdana" w:hAnsi="Verdana"/>
          <w:sz w:val="20"/>
          <w:szCs w:val="20"/>
        </w:rPr>
        <w:t>propósito</w:t>
      </w:r>
      <w:r w:rsidR="009F6FD9" w:rsidRPr="006149BE">
        <w:rPr>
          <w:rFonts w:ascii="Verdana" w:hAnsi="Verdana"/>
          <w:sz w:val="20"/>
          <w:szCs w:val="20"/>
        </w:rPr>
        <w:t xml:space="preserve"> es obtener un</w:t>
      </w:r>
      <w:r w:rsidR="000B1AF0" w:rsidRPr="006149BE">
        <w:rPr>
          <w:rFonts w:ascii="Verdana" w:hAnsi="Verdana"/>
          <w:sz w:val="20"/>
          <w:szCs w:val="20"/>
        </w:rPr>
        <w:t>a</w:t>
      </w:r>
      <w:r w:rsidR="009F6FD9" w:rsidRPr="006149BE">
        <w:rPr>
          <w:rFonts w:ascii="Verdana" w:hAnsi="Verdana"/>
          <w:sz w:val="20"/>
          <w:szCs w:val="20"/>
        </w:rPr>
        <w:t xml:space="preserve"> primer</w:t>
      </w:r>
      <w:r w:rsidR="000B1AF0" w:rsidRPr="006149BE">
        <w:rPr>
          <w:rFonts w:ascii="Verdana" w:hAnsi="Verdana"/>
          <w:sz w:val="20"/>
          <w:szCs w:val="20"/>
        </w:rPr>
        <w:t>a aproximación</w:t>
      </w:r>
      <w:r w:rsidR="009F6FD9" w:rsidRPr="006149BE">
        <w:rPr>
          <w:rFonts w:ascii="Verdana" w:hAnsi="Verdana"/>
          <w:sz w:val="20"/>
          <w:szCs w:val="20"/>
        </w:rPr>
        <w:t xml:space="preserve"> a</w:t>
      </w:r>
      <w:r w:rsidR="00FC1261" w:rsidRPr="006149BE">
        <w:rPr>
          <w:rFonts w:ascii="Verdana" w:hAnsi="Verdana"/>
          <w:sz w:val="20"/>
          <w:szCs w:val="20"/>
        </w:rPr>
        <w:t xml:space="preserve">l tratamiento </w:t>
      </w:r>
      <w:r w:rsidR="00371353" w:rsidRPr="006149BE">
        <w:rPr>
          <w:rFonts w:ascii="Verdana" w:hAnsi="Verdana"/>
          <w:sz w:val="20"/>
          <w:szCs w:val="20"/>
        </w:rPr>
        <w:t>que</w:t>
      </w:r>
      <w:r w:rsidR="00FC1261" w:rsidRPr="006149BE">
        <w:rPr>
          <w:rFonts w:ascii="Verdana" w:hAnsi="Verdana"/>
          <w:sz w:val="20"/>
          <w:szCs w:val="20"/>
        </w:rPr>
        <w:t xml:space="preserve"> </w:t>
      </w:r>
      <w:r w:rsidR="009F6FD9" w:rsidRPr="006149BE">
        <w:rPr>
          <w:rFonts w:ascii="Verdana" w:hAnsi="Verdana"/>
          <w:sz w:val="20"/>
          <w:szCs w:val="20"/>
        </w:rPr>
        <w:t>los textos escolares de Historia</w:t>
      </w:r>
      <w:r w:rsidR="00DD2E7E" w:rsidRPr="006149BE">
        <w:rPr>
          <w:rFonts w:ascii="Verdana" w:hAnsi="Verdana"/>
          <w:sz w:val="20"/>
          <w:szCs w:val="20"/>
        </w:rPr>
        <w:t>,</w:t>
      </w:r>
      <w:r w:rsidR="009F6FD9" w:rsidRPr="006149BE">
        <w:rPr>
          <w:rFonts w:ascii="Verdana" w:hAnsi="Verdana"/>
          <w:sz w:val="20"/>
          <w:szCs w:val="20"/>
        </w:rPr>
        <w:t xml:space="preserve"> Geografía</w:t>
      </w:r>
      <w:r w:rsidR="00DD2E7E" w:rsidRPr="006149BE">
        <w:rPr>
          <w:rFonts w:ascii="Verdana" w:hAnsi="Verdana"/>
          <w:sz w:val="20"/>
          <w:szCs w:val="20"/>
        </w:rPr>
        <w:t xml:space="preserve"> y Ciencias Sociales</w:t>
      </w:r>
      <w:r w:rsidR="009F6FD9" w:rsidRPr="006149BE">
        <w:rPr>
          <w:rFonts w:ascii="Verdana" w:hAnsi="Verdana"/>
          <w:sz w:val="20"/>
          <w:szCs w:val="20"/>
        </w:rPr>
        <w:t xml:space="preserve"> </w:t>
      </w:r>
      <w:r w:rsidR="00371353" w:rsidRPr="006149BE">
        <w:rPr>
          <w:rFonts w:ascii="Verdana" w:hAnsi="Verdana"/>
          <w:sz w:val="20"/>
          <w:szCs w:val="20"/>
        </w:rPr>
        <w:t xml:space="preserve">asigna </w:t>
      </w:r>
      <w:r w:rsidR="00C84E27">
        <w:rPr>
          <w:rFonts w:ascii="Verdana" w:hAnsi="Verdana"/>
          <w:sz w:val="20"/>
          <w:szCs w:val="20"/>
        </w:rPr>
        <w:t>a las mujeres del mundo clásico</w:t>
      </w:r>
      <w:r w:rsidR="009F6FD9" w:rsidRPr="006149BE">
        <w:rPr>
          <w:rFonts w:ascii="Verdana" w:hAnsi="Verdana"/>
          <w:sz w:val="20"/>
          <w:szCs w:val="20"/>
        </w:rPr>
        <w:t xml:space="preserve">. </w:t>
      </w:r>
    </w:p>
    <w:p w14:paraId="044B9B68" w14:textId="2DCD058E" w:rsidR="005C676C" w:rsidRPr="006149BE" w:rsidRDefault="005C676C" w:rsidP="003D1236">
      <w:pPr>
        <w:pStyle w:val="Sinespaciado"/>
        <w:spacing w:line="360" w:lineRule="auto"/>
        <w:jc w:val="both"/>
        <w:rPr>
          <w:rFonts w:ascii="Verdana" w:hAnsi="Verdana"/>
          <w:sz w:val="20"/>
          <w:szCs w:val="20"/>
        </w:rPr>
      </w:pPr>
      <w:r w:rsidRPr="006149BE">
        <w:rPr>
          <w:rFonts w:ascii="Verdana" w:hAnsi="Verdana"/>
          <w:sz w:val="20"/>
          <w:szCs w:val="20"/>
        </w:rPr>
        <w:t xml:space="preserve">La muestra utilizada es intencionada. Los criterios de selección del corpus se fundamentan en la importancia que tienen los manuales escolares como dispositivos de transmisión de las disposiciones ministeriales y en la secuenciación de los contenidos curriculares. </w:t>
      </w:r>
    </w:p>
    <w:p w14:paraId="6395A8E4" w14:textId="6EA48C74" w:rsidR="005C676C" w:rsidRPr="006149BE" w:rsidRDefault="005C676C" w:rsidP="003D1236">
      <w:pPr>
        <w:pStyle w:val="Sinespaciado"/>
        <w:spacing w:line="360" w:lineRule="auto"/>
        <w:jc w:val="both"/>
        <w:rPr>
          <w:rFonts w:ascii="Verdana" w:hAnsi="Verdana"/>
          <w:sz w:val="20"/>
          <w:szCs w:val="20"/>
        </w:rPr>
      </w:pPr>
      <w:r w:rsidRPr="006149BE">
        <w:rPr>
          <w:rFonts w:ascii="Verdana" w:hAnsi="Verdana"/>
          <w:sz w:val="20"/>
          <w:szCs w:val="20"/>
        </w:rPr>
        <w:t>En relación con el primer criterio,</w:t>
      </w:r>
      <w:r w:rsidR="00793739" w:rsidRPr="006149BE">
        <w:rPr>
          <w:rFonts w:ascii="Verdana" w:hAnsi="Verdana"/>
          <w:sz w:val="20"/>
          <w:szCs w:val="20"/>
        </w:rPr>
        <w:t xml:space="preserve"> y que responde básicamente al carácter </w:t>
      </w:r>
      <w:proofErr w:type="spellStart"/>
      <w:r w:rsidR="00793739" w:rsidRPr="006149BE">
        <w:rPr>
          <w:rFonts w:ascii="Verdana" w:hAnsi="Verdana"/>
          <w:sz w:val="20"/>
          <w:szCs w:val="20"/>
        </w:rPr>
        <w:t>transeccional</w:t>
      </w:r>
      <w:proofErr w:type="spellEnd"/>
      <w:r w:rsidR="00793739" w:rsidRPr="006149BE">
        <w:rPr>
          <w:rFonts w:ascii="Verdana" w:hAnsi="Verdana"/>
          <w:sz w:val="20"/>
          <w:szCs w:val="20"/>
        </w:rPr>
        <w:t xml:space="preserve"> del estudio,</w:t>
      </w:r>
      <w:r w:rsidRPr="006149BE">
        <w:rPr>
          <w:rFonts w:ascii="Verdana" w:hAnsi="Verdana"/>
          <w:sz w:val="20"/>
          <w:szCs w:val="20"/>
        </w:rPr>
        <w:t xml:space="preserve"> se escogieron los libros de texto de Historia</w:t>
      </w:r>
      <w:r w:rsidR="00E06D99" w:rsidRPr="006149BE">
        <w:rPr>
          <w:rFonts w:ascii="Verdana" w:hAnsi="Verdana"/>
          <w:sz w:val="20"/>
          <w:szCs w:val="20"/>
        </w:rPr>
        <w:t xml:space="preserve">, </w:t>
      </w:r>
      <w:r w:rsidRPr="006149BE">
        <w:rPr>
          <w:rFonts w:ascii="Verdana" w:hAnsi="Verdana"/>
          <w:sz w:val="20"/>
          <w:szCs w:val="20"/>
        </w:rPr>
        <w:t>Geografía y Cienc</w:t>
      </w:r>
      <w:r w:rsidR="00412D93">
        <w:rPr>
          <w:rFonts w:ascii="Verdana" w:hAnsi="Verdana"/>
          <w:sz w:val="20"/>
          <w:szCs w:val="20"/>
        </w:rPr>
        <w:t>ias Sociales de la editorial SM</w:t>
      </w:r>
      <w:r w:rsidRPr="006149BE">
        <w:rPr>
          <w:rFonts w:ascii="Verdana" w:hAnsi="Verdana"/>
          <w:sz w:val="20"/>
          <w:szCs w:val="20"/>
        </w:rPr>
        <w:t xml:space="preserve"> porque son los entregados por el MINEDUC </w:t>
      </w:r>
      <w:r w:rsidR="00E06D99" w:rsidRPr="006149BE">
        <w:rPr>
          <w:rFonts w:ascii="Verdana" w:hAnsi="Verdana"/>
          <w:sz w:val="20"/>
          <w:szCs w:val="20"/>
        </w:rPr>
        <w:t xml:space="preserve">durante </w:t>
      </w:r>
      <w:r w:rsidR="008E63EE" w:rsidRPr="006149BE">
        <w:rPr>
          <w:rFonts w:ascii="Verdana" w:hAnsi="Verdana"/>
          <w:sz w:val="20"/>
          <w:szCs w:val="20"/>
        </w:rPr>
        <w:t xml:space="preserve">el año </w:t>
      </w:r>
      <w:r w:rsidRPr="006149BE">
        <w:rPr>
          <w:rFonts w:ascii="Verdana" w:hAnsi="Verdana"/>
          <w:sz w:val="20"/>
          <w:szCs w:val="20"/>
        </w:rPr>
        <w:t xml:space="preserve">2020 </w:t>
      </w:r>
      <w:r w:rsidR="00E06D99" w:rsidRPr="006149BE">
        <w:rPr>
          <w:rFonts w:ascii="Verdana" w:hAnsi="Verdana"/>
          <w:sz w:val="20"/>
          <w:szCs w:val="20"/>
        </w:rPr>
        <w:t xml:space="preserve">a </w:t>
      </w:r>
      <w:r w:rsidRPr="006149BE">
        <w:rPr>
          <w:rFonts w:ascii="Verdana" w:hAnsi="Verdana"/>
          <w:sz w:val="20"/>
          <w:szCs w:val="20"/>
        </w:rPr>
        <w:t xml:space="preserve">los colegios municipales y particulares subvencionados del país. </w:t>
      </w:r>
    </w:p>
    <w:p w14:paraId="56FB4B41" w14:textId="450F4F27" w:rsidR="005C676C" w:rsidRPr="006149BE" w:rsidRDefault="005C676C" w:rsidP="003D1236">
      <w:pPr>
        <w:pStyle w:val="Sinespaciado"/>
        <w:spacing w:line="360" w:lineRule="auto"/>
        <w:jc w:val="both"/>
        <w:rPr>
          <w:rFonts w:ascii="Verdana" w:hAnsi="Verdana"/>
          <w:sz w:val="20"/>
          <w:szCs w:val="20"/>
        </w:rPr>
      </w:pPr>
      <w:r w:rsidRPr="006149BE">
        <w:rPr>
          <w:rFonts w:ascii="Verdana" w:hAnsi="Verdana"/>
          <w:sz w:val="20"/>
          <w:szCs w:val="20"/>
        </w:rPr>
        <w:t xml:space="preserve">El segundo criterio responde a la ubicación de los contenidos asociados a la cultura grecorromana en los planes y programas curriculares de la asignatura de Historia, Geografía y Ciencias Sociales. Al respecto, cabe destacar que dichos contenidos se encuentran en Tercero y Séptimo </w:t>
      </w:r>
      <w:r w:rsidR="003639BE" w:rsidRPr="006149BE">
        <w:rPr>
          <w:rFonts w:ascii="Verdana" w:hAnsi="Verdana"/>
          <w:sz w:val="20"/>
          <w:szCs w:val="20"/>
        </w:rPr>
        <w:t>B</w:t>
      </w:r>
      <w:r w:rsidRPr="006149BE">
        <w:rPr>
          <w:rFonts w:ascii="Verdana" w:hAnsi="Verdana"/>
          <w:sz w:val="20"/>
          <w:szCs w:val="20"/>
        </w:rPr>
        <w:t>ásic</w:t>
      </w:r>
      <w:r w:rsidR="003639BE" w:rsidRPr="006149BE">
        <w:rPr>
          <w:rFonts w:ascii="Verdana" w:hAnsi="Verdana"/>
          <w:sz w:val="20"/>
          <w:szCs w:val="20"/>
        </w:rPr>
        <w:t>o</w:t>
      </w:r>
      <w:r w:rsidRPr="006149BE">
        <w:rPr>
          <w:rFonts w:ascii="Verdana" w:hAnsi="Verdana"/>
          <w:sz w:val="20"/>
          <w:szCs w:val="20"/>
        </w:rPr>
        <w:t>, razón por la que los libros elegidos corresponden a estos niveles educativos.</w:t>
      </w:r>
    </w:p>
    <w:p w14:paraId="3E925088" w14:textId="7F8CA395" w:rsidR="00A26462" w:rsidRDefault="000B1AF0" w:rsidP="00284A16">
      <w:pPr>
        <w:pStyle w:val="Sinespaciado"/>
        <w:spacing w:line="360" w:lineRule="auto"/>
        <w:jc w:val="both"/>
        <w:rPr>
          <w:rFonts w:ascii="Verdana" w:hAnsi="Verdana"/>
          <w:sz w:val="20"/>
          <w:szCs w:val="20"/>
        </w:rPr>
      </w:pPr>
      <w:r w:rsidRPr="006149BE">
        <w:rPr>
          <w:rFonts w:ascii="Verdana" w:hAnsi="Verdana"/>
          <w:sz w:val="20"/>
          <w:szCs w:val="20"/>
        </w:rPr>
        <w:t xml:space="preserve">Se utiliza </w:t>
      </w:r>
      <w:r w:rsidR="009F6FD9" w:rsidRPr="006149BE">
        <w:rPr>
          <w:rFonts w:ascii="Verdana" w:hAnsi="Verdana"/>
          <w:sz w:val="20"/>
          <w:szCs w:val="20"/>
        </w:rPr>
        <w:t>la técnica de</w:t>
      </w:r>
      <w:r w:rsidR="00A26462" w:rsidRPr="006149BE">
        <w:rPr>
          <w:rFonts w:ascii="Verdana" w:hAnsi="Verdana"/>
          <w:sz w:val="20"/>
          <w:szCs w:val="20"/>
        </w:rPr>
        <w:t>l A</w:t>
      </w:r>
      <w:r w:rsidR="009F6FD9" w:rsidRPr="006149BE">
        <w:rPr>
          <w:rFonts w:ascii="Verdana" w:hAnsi="Verdana"/>
          <w:sz w:val="20"/>
          <w:szCs w:val="20"/>
        </w:rPr>
        <w:t xml:space="preserve">nálisis </w:t>
      </w:r>
      <w:r w:rsidR="00A26462" w:rsidRPr="006149BE">
        <w:rPr>
          <w:rFonts w:ascii="Verdana" w:hAnsi="Verdana"/>
          <w:sz w:val="20"/>
          <w:szCs w:val="20"/>
        </w:rPr>
        <w:t>Crítico del D</w:t>
      </w:r>
      <w:r w:rsidR="00F15853" w:rsidRPr="006149BE">
        <w:rPr>
          <w:rFonts w:ascii="Verdana" w:hAnsi="Verdana"/>
          <w:sz w:val="20"/>
          <w:szCs w:val="20"/>
        </w:rPr>
        <w:t>iscurso</w:t>
      </w:r>
      <w:r w:rsidR="00A26462" w:rsidRPr="006149BE">
        <w:rPr>
          <w:rFonts w:ascii="Verdana" w:hAnsi="Verdana"/>
          <w:sz w:val="20"/>
          <w:szCs w:val="20"/>
        </w:rPr>
        <w:t xml:space="preserve"> (ACD)</w:t>
      </w:r>
      <w:r w:rsidR="00467159" w:rsidRPr="006149BE">
        <w:rPr>
          <w:rFonts w:ascii="Verdana" w:hAnsi="Verdana"/>
          <w:sz w:val="20"/>
          <w:szCs w:val="20"/>
        </w:rPr>
        <w:t xml:space="preserve"> </w:t>
      </w:r>
      <w:r w:rsidR="006C653F" w:rsidRPr="006149BE">
        <w:rPr>
          <w:rFonts w:ascii="Verdana" w:hAnsi="Verdana"/>
          <w:sz w:val="20"/>
          <w:szCs w:val="20"/>
        </w:rPr>
        <w:t xml:space="preserve">para </w:t>
      </w:r>
      <w:r w:rsidR="0097643A" w:rsidRPr="006149BE">
        <w:rPr>
          <w:rFonts w:ascii="Verdana" w:hAnsi="Verdana"/>
          <w:sz w:val="20"/>
          <w:szCs w:val="20"/>
        </w:rPr>
        <w:t xml:space="preserve">evaluar </w:t>
      </w:r>
      <w:r w:rsidR="00AF375F" w:rsidRPr="006149BE">
        <w:rPr>
          <w:rFonts w:ascii="Verdana" w:hAnsi="Verdana"/>
          <w:sz w:val="20"/>
          <w:szCs w:val="20"/>
        </w:rPr>
        <w:t xml:space="preserve">las desigualdades de género </w:t>
      </w:r>
      <w:r w:rsidR="006C653F" w:rsidRPr="006149BE">
        <w:rPr>
          <w:rFonts w:ascii="Verdana" w:hAnsi="Verdana"/>
          <w:sz w:val="20"/>
          <w:szCs w:val="20"/>
        </w:rPr>
        <w:t xml:space="preserve">presentes </w:t>
      </w:r>
      <w:r w:rsidR="00AF375F" w:rsidRPr="006149BE">
        <w:rPr>
          <w:rFonts w:ascii="Verdana" w:hAnsi="Verdana"/>
          <w:sz w:val="20"/>
          <w:szCs w:val="20"/>
        </w:rPr>
        <w:t>en el discurso</w:t>
      </w:r>
      <w:r w:rsidR="006C653F" w:rsidRPr="006149BE">
        <w:rPr>
          <w:rFonts w:ascii="Verdana" w:hAnsi="Verdana"/>
          <w:sz w:val="20"/>
          <w:szCs w:val="20"/>
        </w:rPr>
        <w:t xml:space="preserve"> y </w:t>
      </w:r>
      <w:r w:rsidR="00A26462" w:rsidRPr="006149BE">
        <w:rPr>
          <w:rFonts w:ascii="Verdana" w:hAnsi="Verdana"/>
          <w:sz w:val="20"/>
          <w:szCs w:val="20"/>
        </w:rPr>
        <w:t>criticar</w:t>
      </w:r>
      <w:r w:rsidR="00AF375F" w:rsidRPr="006149BE">
        <w:rPr>
          <w:rFonts w:ascii="Verdana" w:hAnsi="Verdana"/>
          <w:sz w:val="20"/>
          <w:szCs w:val="20"/>
        </w:rPr>
        <w:t xml:space="preserve"> las narrativas tradicionales de los textos escolares a través de la indagación de los silencios y las exclusiones que contribuyen a la marginación de las mujeres dentro de los procesos históricos. </w:t>
      </w:r>
      <w:r w:rsidR="006D71B5" w:rsidRPr="006149BE">
        <w:rPr>
          <w:rFonts w:ascii="Verdana" w:hAnsi="Verdana"/>
          <w:sz w:val="20"/>
          <w:szCs w:val="20"/>
        </w:rPr>
        <w:t>De este modo,</w:t>
      </w:r>
      <w:r w:rsidR="00284A16" w:rsidRPr="006149BE">
        <w:rPr>
          <w:rFonts w:ascii="Verdana" w:hAnsi="Verdana"/>
          <w:sz w:val="20"/>
          <w:szCs w:val="20"/>
        </w:rPr>
        <w:t xml:space="preserve"> siguiendo a Van </w:t>
      </w:r>
      <w:proofErr w:type="spellStart"/>
      <w:r w:rsidR="00284A16" w:rsidRPr="006149BE">
        <w:rPr>
          <w:rFonts w:ascii="Verdana" w:hAnsi="Verdana"/>
          <w:sz w:val="20"/>
          <w:szCs w:val="20"/>
        </w:rPr>
        <w:t>Dijk</w:t>
      </w:r>
      <w:proofErr w:type="spellEnd"/>
      <w:r w:rsidR="00284A16" w:rsidRPr="006149BE">
        <w:rPr>
          <w:rFonts w:ascii="Verdana" w:hAnsi="Verdana"/>
          <w:sz w:val="20"/>
          <w:szCs w:val="20"/>
        </w:rPr>
        <w:t xml:space="preserve"> (2019),</w:t>
      </w:r>
      <w:r w:rsidR="006D71B5" w:rsidRPr="006149BE">
        <w:rPr>
          <w:rFonts w:ascii="Verdana" w:hAnsi="Verdana"/>
          <w:sz w:val="20"/>
          <w:szCs w:val="20"/>
        </w:rPr>
        <w:t xml:space="preserve"> la investigación busca analizar los recursos y las estrategias </w:t>
      </w:r>
      <w:r w:rsidR="00A26462" w:rsidRPr="006149BE">
        <w:rPr>
          <w:rFonts w:ascii="Verdana" w:hAnsi="Verdana"/>
          <w:sz w:val="20"/>
          <w:szCs w:val="20"/>
        </w:rPr>
        <w:t>discursivas</w:t>
      </w:r>
      <w:r w:rsidR="006D71B5" w:rsidRPr="006149BE">
        <w:rPr>
          <w:rFonts w:ascii="Verdana" w:hAnsi="Verdana"/>
          <w:sz w:val="20"/>
          <w:szCs w:val="20"/>
        </w:rPr>
        <w:t xml:space="preserve"> que utilizan los productores de los manuales escolares para </w:t>
      </w:r>
      <w:r w:rsidR="006149BE" w:rsidRPr="006149BE">
        <w:rPr>
          <w:rFonts w:ascii="Verdana" w:hAnsi="Verdana"/>
          <w:sz w:val="20"/>
          <w:szCs w:val="20"/>
        </w:rPr>
        <w:t>interpretar</w:t>
      </w:r>
      <w:r w:rsidR="006C653F" w:rsidRPr="006149BE">
        <w:rPr>
          <w:rFonts w:ascii="Verdana" w:hAnsi="Verdana"/>
          <w:sz w:val="20"/>
          <w:szCs w:val="20"/>
        </w:rPr>
        <w:t xml:space="preserve"> la historia</w:t>
      </w:r>
      <w:r w:rsidR="006D71B5" w:rsidRPr="006149BE">
        <w:rPr>
          <w:rFonts w:ascii="Verdana" w:hAnsi="Verdana"/>
          <w:sz w:val="20"/>
          <w:szCs w:val="20"/>
        </w:rPr>
        <w:t xml:space="preserve"> de acuerdo con las perspec</w:t>
      </w:r>
      <w:r w:rsidR="006149BE">
        <w:rPr>
          <w:rFonts w:ascii="Verdana" w:hAnsi="Verdana"/>
          <w:sz w:val="20"/>
          <w:szCs w:val="20"/>
        </w:rPr>
        <w:t xml:space="preserve">tivas de </w:t>
      </w:r>
      <w:r w:rsidR="00C84E27">
        <w:rPr>
          <w:rFonts w:ascii="Verdana" w:hAnsi="Verdana"/>
          <w:sz w:val="20"/>
          <w:szCs w:val="20"/>
        </w:rPr>
        <w:t>los grupos</w:t>
      </w:r>
      <w:r w:rsidR="006149BE">
        <w:rPr>
          <w:rFonts w:ascii="Verdana" w:hAnsi="Verdana"/>
          <w:sz w:val="20"/>
          <w:szCs w:val="20"/>
        </w:rPr>
        <w:t xml:space="preserve"> hegemónicos</w:t>
      </w:r>
      <w:r w:rsidR="00A26462" w:rsidRPr="006149BE">
        <w:rPr>
          <w:rFonts w:ascii="Verdana" w:hAnsi="Verdana"/>
          <w:sz w:val="20"/>
          <w:szCs w:val="20"/>
        </w:rPr>
        <w:t xml:space="preserve">. Para desarrollar este ACD, se procede a </w:t>
      </w:r>
      <w:r w:rsidR="009F6FD9" w:rsidRPr="006149BE">
        <w:rPr>
          <w:rFonts w:ascii="Verdana" w:hAnsi="Verdana"/>
          <w:sz w:val="20"/>
          <w:szCs w:val="20"/>
        </w:rPr>
        <w:t xml:space="preserve">evidenciar e interpretar los datos según </w:t>
      </w:r>
      <w:r w:rsidR="002E6A32" w:rsidRPr="006149BE">
        <w:rPr>
          <w:rFonts w:ascii="Verdana" w:hAnsi="Verdana"/>
          <w:sz w:val="20"/>
          <w:szCs w:val="20"/>
        </w:rPr>
        <w:t xml:space="preserve">la categoría y subcategorías </w:t>
      </w:r>
      <w:r w:rsidR="00F15853" w:rsidRPr="006149BE">
        <w:rPr>
          <w:rFonts w:ascii="Verdana" w:hAnsi="Verdana"/>
          <w:sz w:val="20"/>
          <w:szCs w:val="20"/>
        </w:rPr>
        <w:t>identificadas</w:t>
      </w:r>
      <w:r w:rsidR="002E6A32" w:rsidRPr="006149BE">
        <w:rPr>
          <w:rFonts w:ascii="Verdana" w:hAnsi="Verdana"/>
          <w:sz w:val="20"/>
          <w:szCs w:val="20"/>
        </w:rPr>
        <w:t xml:space="preserve"> en la</w:t>
      </w:r>
      <w:r w:rsidR="00F15853" w:rsidRPr="006149BE">
        <w:rPr>
          <w:rFonts w:ascii="Verdana" w:hAnsi="Verdana"/>
          <w:sz w:val="20"/>
          <w:szCs w:val="20"/>
        </w:rPr>
        <w:t xml:space="preserve"> matriz de la</w:t>
      </w:r>
      <w:r w:rsidR="002E6A32" w:rsidRPr="006149BE">
        <w:rPr>
          <w:rFonts w:ascii="Verdana" w:hAnsi="Verdana"/>
          <w:sz w:val="20"/>
          <w:szCs w:val="20"/>
        </w:rPr>
        <w:t xml:space="preserve"> figura 1.</w:t>
      </w:r>
      <w:r w:rsidR="009F6FD9" w:rsidRPr="006149BE">
        <w:rPr>
          <w:rFonts w:ascii="Verdana" w:hAnsi="Verdana"/>
          <w:sz w:val="20"/>
          <w:szCs w:val="20"/>
        </w:rPr>
        <w:t xml:space="preserve"> </w:t>
      </w:r>
    </w:p>
    <w:p w14:paraId="516C820A" w14:textId="11E3420A" w:rsidR="00381797" w:rsidRDefault="00381797" w:rsidP="00284A16">
      <w:pPr>
        <w:pStyle w:val="Sinespaciado"/>
        <w:spacing w:line="360" w:lineRule="auto"/>
        <w:jc w:val="both"/>
        <w:rPr>
          <w:rFonts w:ascii="Verdana" w:hAnsi="Verdana"/>
          <w:sz w:val="20"/>
          <w:szCs w:val="20"/>
        </w:rPr>
      </w:pPr>
    </w:p>
    <w:p w14:paraId="566929A9" w14:textId="77777777" w:rsidR="00381797" w:rsidRPr="006149BE" w:rsidRDefault="00381797" w:rsidP="00284A16">
      <w:pPr>
        <w:pStyle w:val="Sinespaciado"/>
        <w:spacing w:line="360" w:lineRule="auto"/>
        <w:jc w:val="both"/>
        <w:rPr>
          <w:rFonts w:ascii="Verdana" w:hAnsi="Verdana"/>
          <w:sz w:val="20"/>
          <w:szCs w:val="20"/>
        </w:rPr>
      </w:pPr>
    </w:p>
    <w:p w14:paraId="58C82B35" w14:textId="40910B6B" w:rsidR="004454FC" w:rsidRPr="00BF3F34" w:rsidRDefault="004454FC" w:rsidP="003D1236">
      <w:pPr>
        <w:pStyle w:val="Sinespaciado"/>
        <w:spacing w:line="360" w:lineRule="auto"/>
        <w:jc w:val="center"/>
        <w:rPr>
          <w:rFonts w:ascii="Verdana" w:hAnsi="Verdana"/>
          <w:bCs/>
          <w:sz w:val="20"/>
          <w:szCs w:val="20"/>
        </w:rPr>
      </w:pPr>
      <w:r w:rsidRPr="00BF3F34">
        <w:rPr>
          <w:rFonts w:ascii="Verdana" w:hAnsi="Verdana"/>
          <w:bCs/>
          <w:sz w:val="20"/>
          <w:szCs w:val="20"/>
        </w:rPr>
        <w:lastRenderedPageBreak/>
        <w:t>Figura 1. Matriz de categorí</w:t>
      </w:r>
      <w:bookmarkStart w:id="2" w:name="_GoBack"/>
      <w:bookmarkEnd w:id="2"/>
      <w:r w:rsidRPr="00BF3F34">
        <w:rPr>
          <w:rFonts w:ascii="Verdana" w:hAnsi="Verdana"/>
          <w:bCs/>
          <w:sz w:val="20"/>
          <w:szCs w:val="20"/>
        </w:rPr>
        <w:t>as y subcategorías</w:t>
      </w:r>
    </w:p>
    <w:p w14:paraId="6D894F5C" w14:textId="77777777" w:rsidR="00DD19F3" w:rsidRPr="00BF3F34" w:rsidRDefault="00DD19F3" w:rsidP="003D1236">
      <w:pPr>
        <w:pStyle w:val="Sinespaciado"/>
        <w:spacing w:line="360" w:lineRule="auto"/>
        <w:jc w:val="center"/>
        <w:rPr>
          <w:rFonts w:ascii="Verdana" w:hAnsi="Verdana"/>
          <w:bCs/>
          <w:sz w:val="20"/>
          <w:szCs w:val="20"/>
        </w:rPr>
      </w:pPr>
    </w:p>
    <w:p w14:paraId="332243B0" w14:textId="76897814" w:rsidR="008E63EE" w:rsidRPr="00BF3F34" w:rsidRDefault="00DD19F3" w:rsidP="003D1236">
      <w:pPr>
        <w:pStyle w:val="Sinespaciado"/>
        <w:spacing w:line="360" w:lineRule="auto"/>
        <w:jc w:val="center"/>
        <w:rPr>
          <w:rFonts w:ascii="Verdana" w:hAnsi="Verdana"/>
          <w:bCs/>
          <w:sz w:val="20"/>
          <w:szCs w:val="20"/>
        </w:rPr>
      </w:pPr>
      <w:r w:rsidRPr="00BF3F34">
        <w:rPr>
          <w:rFonts w:ascii="Verdana" w:hAnsi="Verdana"/>
          <w:bCs/>
          <w:noProof/>
          <w:sz w:val="20"/>
          <w:szCs w:val="20"/>
          <w:lang w:val="es-CL" w:eastAsia="es-CL"/>
        </w:rPr>
        <w:drawing>
          <wp:inline distT="0" distB="0" distL="0" distR="0" wp14:anchorId="12D07E72" wp14:editId="7C50CF63">
            <wp:extent cx="4309492" cy="2331938"/>
            <wp:effectExtent l="0" t="0" r="0" b="1143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2ADF19E" w14:textId="3A8AD938" w:rsidR="00A26462" w:rsidRDefault="002E6A32" w:rsidP="00AE671F">
      <w:pPr>
        <w:pStyle w:val="Sinespaciado"/>
        <w:spacing w:line="360" w:lineRule="auto"/>
        <w:jc w:val="center"/>
        <w:rPr>
          <w:rFonts w:ascii="Verdana" w:hAnsi="Verdana"/>
          <w:bCs/>
          <w:sz w:val="20"/>
          <w:szCs w:val="20"/>
        </w:rPr>
      </w:pPr>
      <w:r w:rsidRPr="00BF3F34">
        <w:rPr>
          <w:rFonts w:ascii="Verdana" w:hAnsi="Verdana"/>
          <w:bCs/>
          <w:sz w:val="20"/>
          <w:szCs w:val="20"/>
        </w:rPr>
        <w:t>Fuente: Elaboración propia</w:t>
      </w:r>
    </w:p>
    <w:p w14:paraId="7BBC1E0B" w14:textId="4E2544FB" w:rsidR="00AE671F" w:rsidRDefault="00AE671F" w:rsidP="00AE671F">
      <w:pPr>
        <w:pStyle w:val="Sinespaciado"/>
        <w:spacing w:line="360" w:lineRule="auto"/>
        <w:jc w:val="center"/>
        <w:rPr>
          <w:rFonts w:ascii="Verdana" w:hAnsi="Verdana"/>
          <w:bCs/>
          <w:sz w:val="20"/>
          <w:szCs w:val="20"/>
        </w:rPr>
      </w:pPr>
    </w:p>
    <w:p w14:paraId="06D43F1B" w14:textId="77777777" w:rsidR="00AE671F" w:rsidRPr="00AE671F" w:rsidRDefault="00AE671F" w:rsidP="00AE671F">
      <w:pPr>
        <w:pStyle w:val="Sinespaciado"/>
        <w:spacing w:line="360" w:lineRule="auto"/>
        <w:jc w:val="center"/>
        <w:rPr>
          <w:rFonts w:ascii="Verdana" w:hAnsi="Verdana"/>
          <w:bCs/>
          <w:sz w:val="20"/>
          <w:szCs w:val="20"/>
        </w:rPr>
      </w:pPr>
    </w:p>
    <w:p w14:paraId="3C1EDF88" w14:textId="18F3A8C7" w:rsidR="002E6A32" w:rsidRPr="006149BE" w:rsidRDefault="000B1AF0" w:rsidP="003D1236">
      <w:pPr>
        <w:pStyle w:val="Sinespaciado"/>
        <w:spacing w:line="360" w:lineRule="auto"/>
        <w:jc w:val="both"/>
        <w:rPr>
          <w:rFonts w:ascii="Verdana" w:hAnsi="Verdana"/>
          <w:sz w:val="20"/>
          <w:szCs w:val="20"/>
        </w:rPr>
      </w:pPr>
      <w:r w:rsidRPr="006149BE">
        <w:rPr>
          <w:rFonts w:ascii="Verdana" w:hAnsi="Verdana"/>
          <w:sz w:val="20"/>
          <w:szCs w:val="20"/>
        </w:rPr>
        <w:t>Est</w:t>
      </w:r>
      <w:r w:rsidR="00F15853" w:rsidRPr="006149BE">
        <w:rPr>
          <w:rFonts w:ascii="Verdana" w:hAnsi="Verdana"/>
          <w:sz w:val="20"/>
          <w:szCs w:val="20"/>
        </w:rPr>
        <w:t>a matriz de</w:t>
      </w:r>
      <w:r w:rsidRPr="006149BE">
        <w:rPr>
          <w:rFonts w:ascii="Verdana" w:hAnsi="Verdana"/>
          <w:sz w:val="20"/>
          <w:szCs w:val="20"/>
        </w:rPr>
        <w:t xml:space="preserve"> análisis </w:t>
      </w:r>
      <w:r w:rsidR="00F15853" w:rsidRPr="006149BE">
        <w:rPr>
          <w:rFonts w:ascii="Verdana" w:hAnsi="Verdana"/>
          <w:sz w:val="20"/>
          <w:szCs w:val="20"/>
        </w:rPr>
        <w:t xml:space="preserve">fue diseñada en base </w:t>
      </w:r>
      <w:r w:rsidR="009A1B7D" w:rsidRPr="006149BE">
        <w:rPr>
          <w:rFonts w:ascii="Verdana" w:hAnsi="Verdana"/>
          <w:sz w:val="20"/>
          <w:szCs w:val="20"/>
        </w:rPr>
        <w:t>al proceso de etiquetami</w:t>
      </w:r>
      <w:r w:rsidR="006C653F" w:rsidRPr="006149BE">
        <w:rPr>
          <w:rFonts w:ascii="Verdana" w:hAnsi="Verdana"/>
          <w:sz w:val="20"/>
          <w:szCs w:val="20"/>
        </w:rPr>
        <w:t>ento-desagregación-</w:t>
      </w:r>
      <w:proofErr w:type="spellStart"/>
      <w:r w:rsidR="006C653F" w:rsidRPr="006149BE">
        <w:rPr>
          <w:rFonts w:ascii="Verdana" w:hAnsi="Verdana"/>
          <w:sz w:val="20"/>
          <w:szCs w:val="20"/>
        </w:rPr>
        <w:t>reagregación</w:t>
      </w:r>
      <w:proofErr w:type="spellEnd"/>
      <w:r w:rsidR="006C653F" w:rsidRPr="006149BE">
        <w:rPr>
          <w:rFonts w:ascii="Verdana" w:hAnsi="Verdana"/>
          <w:sz w:val="20"/>
          <w:szCs w:val="20"/>
        </w:rPr>
        <w:t xml:space="preserve"> </w:t>
      </w:r>
      <w:r w:rsidR="009A1B7D" w:rsidRPr="006149BE">
        <w:rPr>
          <w:rFonts w:ascii="Verdana" w:hAnsi="Verdana"/>
          <w:sz w:val="20"/>
          <w:szCs w:val="20"/>
        </w:rPr>
        <w:t xml:space="preserve">propuesto por </w:t>
      </w:r>
      <w:r w:rsidR="00F15853" w:rsidRPr="006149BE">
        <w:rPr>
          <w:rFonts w:ascii="Verdana" w:hAnsi="Verdana"/>
          <w:sz w:val="20"/>
          <w:szCs w:val="20"/>
        </w:rPr>
        <w:t xml:space="preserve">Sayago </w:t>
      </w:r>
      <w:r w:rsidR="005F5969" w:rsidRPr="006149BE">
        <w:rPr>
          <w:rFonts w:ascii="Verdana" w:hAnsi="Verdana"/>
          <w:sz w:val="20"/>
          <w:szCs w:val="20"/>
        </w:rPr>
        <w:t>(201</w:t>
      </w:r>
      <w:r w:rsidR="00F15853" w:rsidRPr="006149BE">
        <w:rPr>
          <w:rFonts w:ascii="Verdana" w:hAnsi="Verdana"/>
          <w:sz w:val="20"/>
          <w:szCs w:val="20"/>
        </w:rPr>
        <w:t>4</w:t>
      </w:r>
      <w:r w:rsidR="005F5969" w:rsidRPr="006149BE">
        <w:rPr>
          <w:rFonts w:ascii="Verdana" w:hAnsi="Verdana"/>
          <w:sz w:val="20"/>
          <w:szCs w:val="20"/>
        </w:rPr>
        <w:t>)</w:t>
      </w:r>
      <w:r w:rsidR="009A1B7D" w:rsidRPr="006149BE">
        <w:rPr>
          <w:rFonts w:ascii="Verdana" w:hAnsi="Verdana"/>
          <w:sz w:val="20"/>
          <w:szCs w:val="20"/>
        </w:rPr>
        <w:t>.</w:t>
      </w:r>
      <w:r w:rsidR="009F6FD9" w:rsidRPr="006149BE">
        <w:rPr>
          <w:rFonts w:ascii="Verdana" w:hAnsi="Verdana"/>
          <w:sz w:val="20"/>
          <w:szCs w:val="20"/>
        </w:rPr>
        <w:t xml:space="preserve"> </w:t>
      </w:r>
      <w:r w:rsidR="00164487" w:rsidRPr="006149BE">
        <w:rPr>
          <w:rFonts w:ascii="Verdana" w:hAnsi="Verdana"/>
          <w:bCs/>
          <w:sz w:val="20"/>
          <w:szCs w:val="20"/>
        </w:rPr>
        <w:t xml:space="preserve">Por medio de una búsqueda transversal, </w:t>
      </w:r>
      <w:r w:rsidR="005C676C" w:rsidRPr="006149BE">
        <w:rPr>
          <w:rFonts w:ascii="Verdana" w:hAnsi="Verdana"/>
          <w:bCs/>
          <w:sz w:val="20"/>
          <w:szCs w:val="20"/>
        </w:rPr>
        <w:t xml:space="preserve">y </w:t>
      </w:r>
      <w:r w:rsidR="00164487" w:rsidRPr="006149BE">
        <w:rPr>
          <w:rFonts w:ascii="Verdana" w:hAnsi="Verdana"/>
          <w:bCs/>
          <w:sz w:val="20"/>
          <w:szCs w:val="20"/>
        </w:rPr>
        <w:t xml:space="preserve">siguiendo </w:t>
      </w:r>
      <w:r w:rsidR="005A5ABD" w:rsidRPr="006149BE">
        <w:rPr>
          <w:rFonts w:ascii="Verdana" w:hAnsi="Verdana"/>
          <w:bCs/>
          <w:sz w:val="20"/>
          <w:szCs w:val="20"/>
        </w:rPr>
        <w:t>la</w:t>
      </w:r>
      <w:r w:rsidR="00164487" w:rsidRPr="006149BE">
        <w:rPr>
          <w:rFonts w:ascii="Verdana" w:hAnsi="Verdana"/>
          <w:bCs/>
          <w:sz w:val="20"/>
          <w:szCs w:val="20"/>
        </w:rPr>
        <w:t xml:space="preserve"> unidad de muestreo, registro y codificación abierta</w:t>
      </w:r>
      <w:r w:rsidR="005A5ABD" w:rsidRPr="006149BE">
        <w:rPr>
          <w:rFonts w:ascii="Verdana" w:hAnsi="Verdana"/>
          <w:bCs/>
          <w:sz w:val="20"/>
          <w:szCs w:val="20"/>
        </w:rPr>
        <w:t xml:space="preserve"> de las unidades temát</w:t>
      </w:r>
      <w:r w:rsidR="008619A3">
        <w:rPr>
          <w:rFonts w:ascii="Verdana" w:hAnsi="Verdana"/>
          <w:bCs/>
          <w:sz w:val="20"/>
          <w:szCs w:val="20"/>
        </w:rPr>
        <w:t>icas dedicadas a la Antigüedad C</w:t>
      </w:r>
      <w:r w:rsidR="005A5ABD" w:rsidRPr="006149BE">
        <w:rPr>
          <w:rFonts w:ascii="Verdana" w:hAnsi="Verdana"/>
          <w:bCs/>
          <w:sz w:val="20"/>
          <w:szCs w:val="20"/>
        </w:rPr>
        <w:t>lásica</w:t>
      </w:r>
      <w:r w:rsidR="00164487" w:rsidRPr="006149BE">
        <w:rPr>
          <w:rFonts w:ascii="Verdana" w:hAnsi="Verdana"/>
          <w:bCs/>
          <w:sz w:val="20"/>
          <w:szCs w:val="20"/>
        </w:rPr>
        <w:t>, se establece que</w:t>
      </w:r>
      <w:r w:rsidR="002E3A90" w:rsidRPr="006149BE">
        <w:rPr>
          <w:rFonts w:ascii="Verdana" w:hAnsi="Verdana"/>
          <w:bCs/>
          <w:sz w:val="20"/>
          <w:szCs w:val="20"/>
        </w:rPr>
        <w:t xml:space="preserve"> </w:t>
      </w:r>
      <w:r w:rsidR="00CD7550" w:rsidRPr="006149BE">
        <w:rPr>
          <w:rFonts w:ascii="Verdana" w:hAnsi="Verdana"/>
          <w:bCs/>
          <w:sz w:val="20"/>
          <w:szCs w:val="20"/>
        </w:rPr>
        <w:t>e</w:t>
      </w:r>
      <w:r w:rsidR="005A5ABD" w:rsidRPr="006149BE">
        <w:rPr>
          <w:rFonts w:ascii="Verdana" w:hAnsi="Verdana"/>
          <w:bCs/>
          <w:sz w:val="20"/>
          <w:szCs w:val="20"/>
        </w:rPr>
        <w:t>sta</w:t>
      </w:r>
      <w:r w:rsidR="006C653F" w:rsidRPr="006149BE">
        <w:rPr>
          <w:rFonts w:ascii="Verdana" w:hAnsi="Verdana"/>
          <w:bCs/>
          <w:sz w:val="20"/>
          <w:szCs w:val="20"/>
        </w:rPr>
        <w:t xml:space="preserve">s son tratadas </w:t>
      </w:r>
      <w:r w:rsidR="005A5ABD" w:rsidRPr="006149BE">
        <w:rPr>
          <w:rFonts w:ascii="Verdana" w:hAnsi="Verdana"/>
          <w:bCs/>
          <w:sz w:val="20"/>
          <w:szCs w:val="20"/>
        </w:rPr>
        <w:t xml:space="preserve">desde </w:t>
      </w:r>
      <w:r w:rsidR="002E3A90" w:rsidRPr="006149BE">
        <w:rPr>
          <w:rFonts w:ascii="Verdana" w:hAnsi="Verdana"/>
          <w:bCs/>
          <w:sz w:val="20"/>
          <w:szCs w:val="20"/>
        </w:rPr>
        <w:t>la categoría del</w:t>
      </w:r>
      <w:r w:rsidR="002E6A32" w:rsidRPr="006149BE">
        <w:rPr>
          <w:rFonts w:ascii="Verdana" w:hAnsi="Verdana"/>
          <w:bCs/>
          <w:sz w:val="20"/>
          <w:szCs w:val="20"/>
        </w:rPr>
        <w:t xml:space="preserve"> androcentrismo, la cual se manifiesta de </w:t>
      </w:r>
      <w:r w:rsidR="0054228E" w:rsidRPr="006149BE">
        <w:rPr>
          <w:rFonts w:ascii="Verdana" w:hAnsi="Verdana"/>
          <w:bCs/>
          <w:sz w:val="20"/>
          <w:szCs w:val="20"/>
        </w:rPr>
        <w:t xml:space="preserve">forma </w:t>
      </w:r>
      <w:r w:rsidR="002E6A32" w:rsidRPr="006149BE">
        <w:rPr>
          <w:rFonts w:ascii="Verdana" w:hAnsi="Verdana"/>
          <w:bCs/>
          <w:sz w:val="20"/>
          <w:szCs w:val="20"/>
        </w:rPr>
        <w:t>implícita</w:t>
      </w:r>
      <w:r w:rsidR="0054228E" w:rsidRPr="006149BE">
        <w:rPr>
          <w:rFonts w:ascii="Verdana" w:hAnsi="Verdana"/>
          <w:bCs/>
          <w:sz w:val="20"/>
          <w:szCs w:val="20"/>
        </w:rPr>
        <w:t xml:space="preserve"> y </w:t>
      </w:r>
      <w:r w:rsidR="00A524C4" w:rsidRPr="006149BE">
        <w:rPr>
          <w:rFonts w:ascii="Verdana" w:hAnsi="Verdana"/>
          <w:bCs/>
          <w:sz w:val="20"/>
          <w:szCs w:val="20"/>
        </w:rPr>
        <w:t>explícita</w:t>
      </w:r>
      <w:r w:rsidR="002E6A32" w:rsidRPr="006149BE">
        <w:rPr>
          <w:rFonts w:ascii="Verdana" w:hAnsi="Verdana"/>
          <w:bCs/>
          <w:sz w:val="20"/>
          <w:szCs w:val="20"/>
        </w:rPr>
        <w:t xml:space="preserve"> en </w:t>
      </w:r>
      <w:r w:rsidR="00AA6B3C" w:rsidRPr="006149BE">
        <w:rPr>
          <w:rFonts w:ascii="Verdana" w:hAnsi="Verdana"/>
          <w:bCs/>
          <w:sz w:val="20"/>
          <w:szCs w:val="20"/>
        </w:rPr>
        <w:t xml:space="preserve">los ocho </w:t>
      </w:r>
      <w:r w:rsidR="00812716" w:rsidRPr="006149BE">
        <w:rPr>
          <w:rFonts w:ascii="Verdana" w:hAnsi="Verdana"/>
          <w:bCs/>
          <w:sz w:val="20"/>
          <w:szCs w:val="20"/>
        </w:rPr>
        <w:t xml:space="preserve">pasajes </w:t>
      </w:r>
      <w:r w:rsidR="002E6A32" w:rsidRPr="006149BE">
        <w:rPr>
          <w:rFonts w:ascii="Verdana" w:hAnsi="Verdana"/>
          <w:bCs/>
          <w:sz w:val="20"/>
          <w:szCs w:val="20"/>
        </w:rPr>
        <w:t xml:space="preserve">textuales </w:t>
      </w:r>
      <w:r w:rsidR="00AA6B3C" w:rsidRPr="006149BE">
        <w:rPr>
          <w:rFonts w:ascii="Verdana" w:hAnsi="Verdana"/>
          <w:bCs/>
          <w:sz w:val="20"/>
          <w:szCs w:val="20"/>
        </w:rPr>
        <w:t>que se analizan en el siguiente apartado</w:t>
      </w:r>
      <w:r w:rsidR="002E6A32" w:rsidRPr="006149BE">
        <w:rPr>
          <w:rFonts w:ascii="Verdana" w:hAnsi="Verdana"/>
          <w:bCs/>
          <w:sz w:val="20"/>
          <w:szCs w:val="20"/>
        </w:rPr>
        <w:t>.</w:t>
      </w:r>
      <w:r w:rsidR="00BE28A8" w:rsidRPr="006149BE">
        <w:rPr>
          <w:rFonts w:ascii="Verdana" w:hAnsi="Verdana"/>
          <w:bCs/>
          <w:sz w:val="20"/>
          <w:szCs w:val="20"/>
        </w:rPr>
        <w:t xml:space="preserve"> </w:t>
      </w:r>
      <w:r w:rsidR="0073155F" w:rsidRPr="006149BE">
        <w:rPr>
          <w:rFonts w:ascii="Verdana" w:hAnsi="Verdana"/>
          <w:bCs/>
          <w:sz w:val="20"/>
          <w:szCs w:val="20"/>
        </w:rPr>
        <w:t>Posteriormente, a</w:t>
      </w:r>
      <w:r w:rsidR="00B45B14" w:rsidRPr="006149BE">
        <w:rPr>
          <w:rFonts w:ascii="Verdana" w:hAnsi="Verdana"/>
          <w:bCs/>
          <w:sz w:val="20"/>
          <w:szCs w:val="20"/>
        </w:rPr>
        <w:t xml:space="preserve"> partir de</w:t>
      </w:r>
      <w:r w:rsidR="0073155F" w:rsidRPr="006149BE">
        <w:rPr>
          <w:rFonts w:ascii="Verdana" w:hAnsi="Verdana"/>
          <w:bCs/>
          <w:sz w:val="20"/>
          <w:szCs w:val="20"/>
        </w:rPr>
        <w:t xml:space="preserve"> una búsqueda vertical y</w:t>
      </w:r>
      <w:r w:rsidR="0073155F" w:rsidRPr="006149BE">
        <w:rPr>
          <w:rFonts w:ascii="Verdana" w:hAnsi="Verdana"/>
          <w:sz w:val="20"/>
          <w:szCs w:val="20"/>
        </w:rPr>
        <w:t xml:space="preserve"> </w:t>
      </w:r>
      <w:r w:rsidR="00812716" w:rsidRPr="006149BE">
        <w:rPr>
          <w:rFonts w:ascii="Verdana" w:hAnsi="Verdana"/>
          <w:bCs/>
          <w:sz w:val="20"/>
          <w:szCs w:val="20"/>
        </w:rPr>
        <w:t xml:space="preserve">utilizando </w:t>
      </w:r>
      <w:r w:rsidR="0073155F" w:rsidRPr="006149BE">
        <w:rPr>
          <w:rFonts w:ascii="Verdana" w:hAnsi="Verdana"/>
          <w:bCs/>
          <w:sz w:val="20"/>
          <w:szCs w:val="20"/>
        </w:rPr>
        <w:t>la técnica de</w:t>
      </w:r>
      <w:r w:rsidR="009455F5" w:rsidRPr="006149BE">
        <w:rPr>
          <w:rFonts w:ascii="Verdana" w:hAnsi="Verdana"/>
          <w:bCs/>
          <w:sz w:val="20"/>
          <w:szCs w:val="20"/>
        </w:rPr>
        <w:t xml:space="preserve"> saturación teórica</w:t>
      </w:r>
      <w:r w:rsidR="0073155F" w:rsidRPr="006149BE">
        <w:rPr>
          <w:rFonts w:ascii="Verdana" w:hAnsi="Verdana"/>
          <w:bCs/>
          <w:sz w:val="20"/>
          <w:szCs w:val="20"/>
        </w:rPr>
        <w:t xml:space="preserve">, se identificaron las </w:t>
      </w:r>
      <w:r w:rsidR="001F1118" w:rsidRPr="006149BE">
        <w:rPr>
          <w:rFonts w:ascii="Verdana" w:hAnsi="Verdana"/>
          <w:bCs/>
          <w:sz w:val="20"/>
          <w:szCs w:val="20"/>
        </w:rPr>
        <w:t xml:space="preserve">seis </w:t>
      </w:r>
      <w:r w:rsidR="0073155F" w:rsidRPr="006149BE">
        <w:rPr>
          <w:rFonts w:ascii="Verdana" w:hAnsi="Verdana"/>
          <w:bCs/>
          <w:sz w:val="20"/>
          <w:szCs w:val="20"/>
        </w:rPr>
        <w:t>subcategorías</w:t>
      </w:r>
      <w:r w:rsidR="001F1118" w:rsidRPr="006149BE">
        <w:rPr>
          <w:rFonts w:ascii="Verdana" w:hAnsi="Verdana"/>
          <w:bCs/>
          <w:sz w:val="20"/>
          <w:szCs w:val="20"/>
        </w:rPr>
        <w:t xml:space="preserve"> obtenidas</w:t>
      </w:r>
      <w:r w:rsidR="0073155F" w:rsidRPr="006149BE">
        <w:rPr>
          <w:rFonts w:ascii="Verdana" w:hAnsi="Verdana"/>
          <w:bCs/>
          <w:sz w:val="20"/>
          <w:szCs w:val="20"/>
        </w:rPr>
        <w:t xml:space="preserve"> de </w:t>
      </w:r>
      <w:r w:rsidR="002E6A32" w:rsidRPr="006149BE">
        <w:rPr>
          <w:rFonts w:ascii="Verdana" w:hAnsi="Verdana"/>
          <w:bCs/>
          <w:sz w:val="20"/>
          <w:szCs w:val="20"/>
        </w:rPr>
        <w:t>la categoría</w:t>
      </w:r>
      <w:r w:rsidR="002E3A90" w:rsidRPr="006149BE">
        <w:rPr>
          <w:rFonts w:ascii="Verdana" w:hAnsi="Verdana"/>
          <w:bCs/>
          <w:sz w:val="20"/>
          <w:szCs w:val="20"/>
        </w:rPr>
        <w:t xml:space="preserve"> </w:t>
      </w:r>
      <w:r w:rsidR="00B45B14" w:rsidRPr="006149BE">
        <w:rPr>
          <w:rFonts w:ascii="Verdana" w:hAnsi="Verdana"/>
          <w:bCs/>
          <w:sz w:val="20"/>
          <w:szCs w:val="20"/>
        </w:rPr>
        <w:t>principal consignada</w:t>
      </w:r>
      <w:r w:rsidR="002E6A32" w:rsidRPr="006149BE">
        <w:rPr>
          <w:rFonts w:ascii="Verdana" w:hAnsi="Verdana"/>
          <w:bCs/>
          <w:sz w:val="20"/>
          <w:szCs w:val="20"/>
        </w:rPr>
        <w:t>.</w:t>
      </w:r>
      <w:r w:rsidR="00A26462" w:rsidRPr="006149BE">
        <w:rPr>
          <w:rFonts w:ascii="Verdana" w:hAnsi="Verdana"/>
          <w:bCs/>
          <w:sz w:val="20"/>
          <w:szCs w:val="20"/>
        </w:rPr>
        <w:t xml:space="preserve"> </w:t>
      </w:r>
      <w:r w:rsidR="00CD7550" w:rsidRPr="006149BE">
        <w:rPr>
          <w:rFonts w:ascii="Verdana" w:hAnsi="Verdana"/>
          <w:bCs/>
          <w:sz w:val="20"/>
          <w:szCs w:val="20"/>
        </w:rPr>
        <w:t>D</w:t>
      </w:r>
      <w:r w:rsidR="00C84E27">
        <w:rPr>
          <w:rFonts w:ascii="Verdana" w:hAnsi="Verdana"/>
          <w:bCs/>
          <w:sz w:val="20"/>
          <w:szCs w:val="20"/>
        </w:rPr>
        <w:t>e tal forma, d</w:t>
      </w:r>
      <w:r w:rsidR="00CD7550" w:rsidRPr="006149BE">
        <w:rPr>
          <w:rFonts w:ascii="Verdana" w:hAnsi="Verdana"/>
          <w:bCs/>
          <w:sz w:val="20"/>
          <w:szCs w:val="20"/>
        </w:rPr>
        <w:t xml:space="preserve">icha matriz </w:t>
      </w:r>
      <w:r w:rsidR="00A26462" w:rsidRPr="006149BE">
        <w:rPr>
          <w:rFonts w:ascii="Verdana" w:hAnsi="Verdana"/>
          <w:bCs/>
          <w:sz w:val="20"/>
          <w:szCs w:val="20"/>
        </w:rPr>
        <w:t>resulta</w:t>
      </w:r>
      <w:r w:rsidR="00CD7550" w:rsidRPr="006149BE">
        <w:rPr>
          <w:rFonts w:ascii="Verdana" w:hAnsi="Verdana"/>
          <w:bCs/>
          <w:sz w:val="20"/>
          <w:szCs w:val="20"/>
        </w:rPr>
        <w:t xml:space="preserve"> ser una pieza</w:t>
      </w:r>
      <w:r w:rsidR="006149BE" w:rsidRPr="006149BE">
        <w:rPr>
          <w:rFonts w:ascii="Verdana" w:hAnsi="Verdana"/>
          <w:bCs/>
          <w:sz w:val="20"/>
          <w:szCs w:val="20"/>
        </w:rPr>
        <w:t xml:space="preserve"> fundamental</w:t>
      </w:r>
      <w:r w:rsidR="00A26462" w:rsidRPr="006149BE">
        <w:rPr>
          <w:rFonts w:ascii="Verdana" w:hAnsi="Verdana"/>
          <w:bCs/>
          <w:sz w:val="20"/>
          <w:szCs w:val="20"/>
        </w:rPr>
        <w:t xml:space="preserve"> </w:t>
      </w:r>
      <w:r w:rsidR="00502B31" w:rsidRPr="006149BE">
        <w:rPr>
          <w:rFonts w:ascii="Verdana" w:hAnsi="Verdana"/>
          <w:bCs/>
          <w:sz w:val="20"/>
          <w:szCs w:val="20"/>
        </w:rPr>
        <w:t>para ana</w:t>
      </w:r>
      <w:r w:rsidR="00A26462" w:rsidRPr="006149BE">
        <w:rPr>
          <w:rFonts w:ascii="Verdana" w:hAnsi="Verdana"/>
          <w:bCs/>
          <w:sz w:val="20"/>
          <w:szCs w:val="20"/>
        </w:rPr>
        <w:t>lizar</w:t>
      </w:r>
      <w:r w:rsidR="00502B31" w:rsidRPr="006149BE">
        <w:rPr>
          <w:rFonts w:ascii="Verdana" w:hAnsi="Verdana"/>
          <w:bCs/>
          <w:sz w:val="20"/>
          <w:szCs w:val="20"/>
        </w:rPr>
        <w:t xml:space="preserve"> las representaciones</w:t>
      </w:r>
      <w:r w:rsidR="00C84E27">
        <w:rPr>
          <w:rFonts w:ascii="Verdana" w:hAnsi="Verdana"/>
          <w:bCs/>
          <w:sz w:val="20"/>
          <w:szCs w:val="20"/>
        </w:rPr>
        <w:t xml:space="preserve"> de género</w:t>
      </w:r>
      <w:r w:rsidR="00502B31" w:rsidRPr="006149BE">
        <w:rPr>
          <w:rFonts w:ascii="Verdana" w:hAnsi="Verdana"/>
          <w:bCs/>
          <w:sz w:val="20"/>
          <w:szCs w:val="20"/>
        </w:rPr>
        <w:t xml:space="preserve"> </w:t>
      </w:r>
      <w:r w:rsidR="00A26462" w:rsidRPr="006149BE">
        <w:rPr>
          <w:rFonts w:ascii="Verdana" w:hAnsi="Verdana"/>
          <w:bCs/>
          <w:sz w:val="20"/>
          <w:szCs w:val="20"/>
        </w:rPr>
        <w:t xml:space="preserve">presentes en los </w:t>
      </w:r>
      <w:r w:rsidR="00A847E6" w:rsidRPr="006149BE">
        <w:rPr>
          <w:rFonts w:ascii="Verdana" w:hAnsi="Verdana"/>
          <w:bCs/>
          <w:sz w:val="20"/>
          <w:szCs w:val="20"/>
        </w:rPr>
        <w:t>manuales</w:t>
      </w:r>
      <w:r w:rsidR="00502B31" w:rsidRPr="006149BE">
        <w:rPr>
          <w:rFonts w:ascii="Verdana" w:hAnsi="Verdana"/>
          <w:bCs/>
          <w:sz w:val="20"/>
          <w:szCs w:val="20"/>
        </w:rPr>
        <w:t xml:space="preserve"> escolares, reflexionar sobre los silencios presentes y evaluar los posibles </w:t>
      </w:r>
      <w:r w:rsidR="006C653F" w:rsidRPr="006149BE">
        <w:rPr>
          <w:rFonts w:ascii="Verdana" w:hAnsi="Verdana"/>
          <w:bCs/>
          <w:sz w:val="20"/>
          <w:szCs w:val="20"/>
        </w:rPr>
        <w:t>efectos sociales de los discursos dominantes</w:t>
      </w:r>
      <w:r w:rsidR="00502B31" w:rsidRPr="006149BE">
        <w:rPr>
          <w:rFonts w:ascii="Verdana" w:hAnsi="Verdana"/>
          <w:bCs/>
          <w:sz w:val="20"/>
          <w:szCs w:val="20"/>
        </w:rPr>
        <w:t>.</w:t>
      </w:r>
    </w:p>
    <w:p w14:paraId="6AA59DB9" w14:textId="7A7ADE90" w:rsidR="00A26462" w:rsidRDefault="00A26462" w:rsidP="003D1236">
      <w:pPr>
        <w:pStyle w:val="Sinespaciado"/>
        <w:spacing w:line="360" w:lineRule="auto"/>
        <w:jc w:val="both"/>
        <w:rPr>
          <w:rFonts w:ascii="Verdana" w:hAnsi="Verdana"/>
          <w:b/>
          <w:iCs/>
          <w:sz w:val="20"/>
          <w:szCs w:val="20"/>
        </w:rPr>
      </w:pPr>
    </w:p>
    <w:p w14:paraId="16F1AEA8" w14:textId="1BA880FE" w:rsidR="00EC7EED" w:rsidRPr="00BF3F34" w:rsidRDefault="006104AF" w:rsidP="003D1236">
      <w:pPr>
        <w:pStyle w:val="Sinespaciado"/>
        <w:spacing w:line="360" w:lineRule="auto"/>
        <w:jc w:val="both"/>
        <w:rPr>
          <w:rFonts w:ascii="Verdana" w:hAnsi="Verdana"/>
          <w:b/>
          <w:iCs/>
          <w:sz w:val="20"/>
          <w:szCs w:val="20"/>
        </w:rPr>
      </w:pPr>
      <w:r w:rsidRPr="00BF3F34">
        <w:rPr>
          <w:rFonts w:ascii="Verdana" w:hAnsi="Verdana"/>
          <w:b/>
          <w:iCs/>
          <w:sz w:val="20"/>
          <w:szCs w:val="20"/>
        </w:rPr>
        <w:t xml:space="preserve">RESULTADOS </w:t>
      </w:r>
    </w:p>
    <w:p w14:paraId="5F6C4CEC" w14:textId="58CFEED9" w:rsidR="002D494B" w:rsidRPr="00BF3F34" w:rsidRDefault="002D494B" w:rsidP="003D1236">
      <w:pPr>
        <w:pStyle w:val="Sinespaciado"/>
        <w:spacing w:line="360" w:lineRule="auto"/>
        <w:jc w:val="both"/>
        <w:rPr>
          <w:rFonts w:ascii="Verdana" w:hAnsi="Verdana"/>
          <w:b/>
          <w:sz w:val="20"/>
          <w:szCs w:val="20"/>
        </w:rPr>
      </w:pPr>
    </w:p>
    <w:p w14:paraId="27B1BCEB" w14:textId="2637918D" w:rsidR="00316164" w:rsidRPr="006149BE" w:rsidRDefault="00683BC5" w:rsidP="003D1236">
      <w:pPr>
        <w:pStyle w:val="Sinespaciado"/>
        <w:spacing w:line="360" w:lineRule="auto"/>
        <w:jc w:val="both"/>
        <w:rPr>
          <w:rFonts w:ascii="Verdana" w:hAnsi="Verdana"/>
          <w:bCs/>
          <w:sz w:val="20"/>
          <w:szCs w:val="20"/>
        </w:rPr>
      </w:pPr>
      <w:r>
        <w:rPr>
          <w:rFonts w:ascii="Verdana" w:hAnsi="Verdana"/>
          <w:bCs/>
          <w:sz w:val="20"/>
          <w:szCs w:val="20"/>
        </w:rPr>
        <w:t>Con el fin de socializar</w:t>
      </w:r>
      <w:r w:rsidR="002A41B2" w:rsidRPr="006149BE">
        <w:rPr>
          <w:rFonts w:ascii="Verdana" w:hAnsi="Verdana"/>
          <w:bCs/>
          <w:sz w:val="20"/>
          <w:szCs w:val="20"/>
        </w:rPr>
        <w:t xml:space="preserve"> </w:t>
      </w:r>
      <w:r w:rsidR="00D21084" w:rsidRPr="006149BE">
        <w:rPr>
          <w:rFonts w:ascii="Verdana" w:hAnsi="Verdana"/>
          <w:bCs/>
          <w:sz w:val="20"/>
          <w:szCs w:val="20"/>
        </w:rPr>
        <w:t xml:space="preserve">los hallazgos obtenidos, </w:t>
      </w:r>
      <w:r w:rsidR="002D494B" w:rsidRPr="006149BE">
        <w:rPr>
          <w:rFonts w:ascii="Verdana" w:hAnsi="Verdana"/>
          <w:bCs/>
          <w:sz w:val="20"/>
          <w:szCs w:val="20"/>
        </w:rPr>
        <w:t>se presenta</w:t>
      </w:r>
      <w:r w:rsidR="00B24312" w:rsidRPr="006149BE">
        <w:rPr>
          <w:rFonts w:ascii="Verdana" w:hAnsi="Verdana"/>
          <w:bCs/>
          <w:sz w:val="20"/>
          <w:szCs w:val="20"/>
        </w:rPr>
        <w:t>, a continuación,</w:t>
      </w:r>
      <w:r w:rsidR="002D494B" w:rsidRPr="006149BE">
        <w:rPr>
          <w:rFonts w:ascii="Verdana" w:hAnsi="Verdana"/>
          <w:bCs/>
          <w:sz w:val="20"/>
          <w:szCs w:val="20"/>
        </w:rPr>
        <w:t xml:space="preserve"> la categoría</w:t>
      </w:r>
      <w:r w:rsidR="00DB7075" w:rsidRPr="006149BE">
        <w:rPr>
          <w:rFonts w:ascii="Verdana" w:hAnsi="Verdana"/>
          <w:bCs/>
          <w:sz w:val="20"/>
          <w:szCs w:val="20"/>
        </w:rPr>
        <w:t xml:space="preserve"> </w:t>
      </w:r>
      <w:r w:rsidR="002D494B" w:rsidRPr="006149BE">
        <w:rPr>
          <w:rFonts w:ascii="Verdana" w:hAnsi="Verdana"/>
          <w:bCs/>
          <w:sz w:val="20"/>
          <w:szCs w:val="20"/>
        </w:rPr>
        <w:t xml:space="preserve">denominada </w:t>
      </w:r>
      <w:r w:rsidR="00B24312" w:rsidRPr="006149BE">
        <w:rPr>
          <w:rFonts w:ascii="Verdana" w:hAnsi="Verdana"/>
          <w:bCs/>
          <w:sz w:val="20"/>
          <w:szCs w:val="20"/>
        </w:rPr>
        <w:t>a</w:t>
      </w:r>
      <w:r w:rsidR="00DB7075" w:rsidRPr="006149BE">
        <w:rPr>
          <w:rFonts w:ascii="Verdana" w:hAnsi="Verdana"/>
          <w:bCs/>
          <w:sz w:val="20"/>
          <w:szCs w:val="20"/>
        </w:rPr>
        <w:t>ndrocentrismo</w:t>
      </w:r>
      <w:r w:rsidR="00B63B7A" w:rsidRPr="006149BE">
        <w:rPr>
          <w:rFonts w:ascii="Verdana" w:hAnsi="Verdana"/>
          <w:bCs/>
          <w:sz w:val="20"/>
          <w:szCs w:val="20"/>
        </w:rPr>
        <w:t xml:space="preserve"> </w:t>
      </w:r>
      <w:r w:rsidR="002D494B" w:rsidRPr="006149BE">
        <w:rPr>
          <w:rFonts w:ascii="Verdana" w:hAnsi="Verdana"/>
          <w:bCs/>
          <w:sz w:val="20"/>
          <w:szCs w:val="20"/>
        </w:rPr>
        <w:t>con su</w:t>
      </w:r>
      <w:r w:rsidR="006149BE" w:rsidRPr="006149BE">
        <w:rPr>
          <w:rFonts w:ascii="Verdana" w:hAnsi="Verdana"/>
          <w:bCs/>
          <w:sz w:val="20"/>
          <w:szCs w:val="20"/>
        </w:rPr>
        <w:t>s</w:t>
      </w:r>
      <w:r w:rsidR="002D494B" w:rsidRPr="006149BE">
        <w:rPr>
          <w:rFonts w:ascii="Verdana" w:hAnsi="Verdana"/>
          <w:bCs/>
          <w:sz w:val="20"/>
          <w:szCs w:val="20"/>
        </w:rPr>
        <w:t xml:space="preserve"> respectiva</w:t>
      </w:r>
      <w:r w:rsidR="002A41B2" w:rsidRPr="006149BE">
        <w:rPr>
          <w:rFonts w:ascii="Verdana" w:hAnsi="Verdana"/>
          <w:bCs/>
          <w:sz w:val="20"/>
          <w:szCs w:val="20"/>
        </w:rPr>
        <w:t>s</w:t>
      </w:r>
      <w:r w:rsidR="002D494B" w:rsidRPr="006149BE">
        <w:rPr>
          <w:rFonts w:ascii="Verdana" w:hAnsi="Verdana"/>
          <w:bCs/>
          <w:sz w:val="20"/>
          <w:szCs w:val="20"/>
        </w:rPr>
        <w:t xml:space="preserve"> subcategoría</w:t>
      </w:r>
      <w:r w:rsidR="002A41B2" w:rsidRPr="006149BE">
        <w:rPr>
          <w:rFonts w:ascii="Verdana" w:hAnsi="Verdana"/>
          <w:bCs/>
          <w:sz w:val="20"/>
          <w:szCs w:val="20"/>
        </w:rPr>
        <w:t>s</w:t>
      </w:r>
      <w:r w:rsidR="00D21084" w:rsidRPr="006149BE">
        <w:rPr>
          <w:rFonts w:ascii="Verdana" w:hAnsi="Verdana"/>
          <w:bCs/>
          <w:sz w:val="20"/>
          <w:szCs w:val="20"/>
        </w:rPr>
        <w:t xml:space="preserve"> y evidencia</w:t>
      </w:r>
      <w:r w:rsidR="002A41B2" w:rsidRPr="006149BE">
        <w:rPr>
          <w:rFonts w:ascii="Verdana" w:hAnsi="Verdana"/>
          <w:bCs/>
          <w:sz w:val="20"/>
          <w:szCs w:val="20"/>
        </w:rPr>
        <w:t>s</w:t>
      </w:r>
      <w:r w:rsidR="002D494B" w:rsidRPr="006149BE">
        <w:rPr>
          <w:rFonts w:ascii="Verdana" w:hAnsi="Verdana"/>
          <w:bCs/>
          <w:sz w:val="20"/>
          <w:szCs w:val="20"/>
        </w:rPr>
        <w:t>.</w:t>
      </w:r>
      <w:bookmarkStart w:id="3" w:name="_Hlk38466673"/>
    </w:p>
    <w:p w14:paraId="6768A979" w14:textId="77777777" w:rsidR="00284A16" w:rsidRDefault="00284A16" w:rsidP="003D1236">
      <w:pPr>
        <w:pStyle w:val="Sinespaciado"/>
        <w:spacing w:line="360" w:lineRule="auto"/>
        <w:jc w:val="both"/>
        <w:rPr>
          <w:rFonts w:ascii="Verdana" w:hAnsi="Verdana"/>
          <w:b/>
          <w:bCs/>
          <w:sz w:val="20"/>
          <w:szCs w:val="20"/>
          <w:lang w:val="es-CL"/>
        </w:rPr>
      </w:pPr>
    </w:p>
    <w:p w14:paraId="61361DC0" w14:textId="7F9161C2" w:rsidR="00284A16" w:rsidRDefault="00284A16" w:rsidP="003D1236">
      <w:pPr>
        <w:pStyle w:val="Sinespaciado"/>
        <w:spacing w:line="360" w:lineRule="auto"/>
        <w:jc w:val="both"/>
        <w:rPr>
          <w:rFonts w:ascii="Verdana" w:hAnsi="Verdana"/>
          <w:b/>
          <w:bCs/>
          <w:sz w:val="20"/>
          <w:szCs w:val="20"/>
          <w:lang w:val="es-CL"/>
        </w:rPr>
      </w:pPr>
    </w:p>
    <w:p w14:paraId="076039E1" w14:textId="77777777" w:rsidR="006149BE" w:rsidRDefault="006149BE" w:rsidP="003D1236">
      <w:pPr>
        <w:pStyle w:val="Sinespaciado"/>
        <w:spacing w:line="360" w:lineRule="auto"/>
        <w:jc w:val="both"/>
        <w:rPr>
          <w:rFonts w:ascii="Verdana" w:hAnsi="Verdana"/>
          <w:b/>
          <w:bCs/>
          <w:sz w:val="20"/>
          <w:szCs w:val="20"/>
          <w:lang w:val="es-CL"/>
        </w:rPr>
      </w:pPr>
    </w:p>
    <w:p w14:paraId="52D3954D" w14:textId="77777777" w:rsidR="00284A16" w:rsidRDefault="00284A16" w:rsidP="003D1236">
      <w:pPr>
        <w:pStyle w:val="Sinespaciado"/>
        <w:spacing w:line="360" w:lineRule="auto"/>
        <w:jc w:val="both"/>
        <w:rPr>
          <w:rFonts w:ascii="Verdana" w:hAnsi="Verdana"/>
          <w:b/>
          <w:bCs/>
          <w:sz w:val="20"/>
          <w:szCs w:val="20"/>
          <w:lang w:val="es-CL"/>
        </w:rPr>
      </w:pPr>
    </w:p>
    <w:p w14:paraId="1E51B805" w14:textId="2E340CCC" w:rsidR="00E06B5B" w:rsidRDefault="00E06B5B" w:rsidP="003D1236">
      <w:pPr>
        <w:pStyle w:val="Sinespaciado"/>
        <w:spacing w:line="360" w:lineRule="auto"/>
        <w:jc w:val="both"/>
        <w:rPr>
          <w:rFonts w:ascii="Verdana" w:hAnsi="Verdana"/>
          <w:b/>
          <w:bCs/>
          <w:sz w:val="20"/>
          <w:szCs w:val="20"/>
          <w:lang w:val="es-CL"/>
        </w:rPr>
      </w:pPr>
      <w:r w:rsidRPr="00BF3F34">
        <w:rPr>
          <w:rFonts w:ascii="Verdana" w:hAnsi="Verdana"/>
          <w:b/>
          <w:bCs/>
          <w:sz w:val="20"/>
          <w:szCs w:val="20"/>
          <w:lang w:val="es-CL"/>
        </w:rPr>
        <w:lastRenderedPageBreak/>
        <w:t xml:space="preserve">Categoría: </w:t>
      </w:r>
      <w:r w:rsidRPr="00CF1FC9">
        <w:rPr>
          <w:rFonts w:ascii="Verdana" w:hAnsi="Verdana"/>
          <w:bCs/>
          <w:sz w:val="20"/>
          <w:szCs w:val="20"/>
          <w:lang w:val="es-CL"/>
        </w:rPr>
        <w:t>Androcentrismo;</w:t>
      </w:r>
      <w:r w:rsidRPr="00BF3F34">
        <w:rPr>
          <w:rFonts w:ascii="Verdana" w:hAnsi="Verdana"/>
          <w:b/>
          <w:bCs/>
          <w:sz w:val="20"/>
          <w:szCs w:val="20"/>
          <w:lang w:val="es-CL"/>
        </w:rPr>
        <w:t xml:space="preserve"> Subcategoría</w:t>
      </w:r>
      <w:r w:rsidR="00AE671F">
        <w:rPr>
          <w:rFonts w:ascii="Verdana" w:hAnsi="Verdana"/>
          <w:b/>
          <w:bCs/>
          <w:sz w:val="20"/>
          <w:szCs w:val="20"/>
          <w:lang w:val="es-CL"/>
        </w:rPr>
        <w:t xml:space="preserve"> 1</w:t>
      </w:r>
      <w:r w:rsidRPr="00BF3F34">
        <w:rPr>
          <w:rFonts w:ascii="Verdana" w:hAnsi="Verdana"/>
          <w:b/>
          <w:bCs/>
          <w:sz w:val="20"/>
          <w:szCs w:val="20"/>
          <w:lang w:val="es-CL"/>
        </w:rPr>
        <w:t xml:space="preserve">: </w:t>
      </w:r>
      <w:bookmarkStart w:id="4" w:name="_Hlk38467584"/>
      <w:bookmarkEnd w:id="3"/>
      <w:r w:rsidRPr="00CF1FC9">
        <w:rPr>
          <w:rFonts w:ascii="Verdana" w:hAnsi="Verdana"/>
          <w:bCs/>
          <w:sz w:val="20"/>
          <w:szCs w:val="20"/>
          <w:lang w:val="es-CL"/>
        </w:rPr>
        <w:t xml:space="preserve">Diferenciación </w:t>
      </w:r>
      <w:r w:rsidR="00AB3907" w:rsidRPr="00CF1FC9">
        <w:rPr>
          <w:rFonts w:ascii="Verdana" w:hAnsi="Verdana"/>
          <w:bCs/>
          <w:sz w:val="20"/>
          <w:szCs w:val="20"/>
          <w:lang w:val="es-CL"/>
        </w:rPr>
        <w:t>sexista en la etapa infantil</w:t>
      </w:r>
    </w:p>
    <w:p w14:paraId="60DBA2AF" w14:textId="4E0C0198" w:rsidR="009F3680" w:rsidRDefault="009F3680" w:rsidP="003D1236">
      <w:pPr>
        <w:pStyle w:val="Sinespaciado"/>
        <w:spacing w:line="360" w:lineRule="auto"/>
        <w:jc w:val="both"/>
        <w:rPr>
          <w:rFonts w:ascii="Verdana" w:hAnsi="Verdana"/>
          <w:b/>
          <w:bCs/>
          <w:sz w:val="20"/>
          <w:szCs w:val="20"/>
          <w:lang w:val="es-CL"/>
        </w:rPr>
      </w:pPr>
    </w:p>
    <w:p w14:paraId="30A823CB" w14:textId="3EC58CA0" w:rsidR="009F3680" w:rsidRDefault="009F3680" w:rsidP="003D1236">
      <w:pPr>
        <w:pStyle w:val="Sinespaciado"/>
        <w:spacing w:line="360" w:lineRule="auto"/>
        <w:jc w:val="both"/>
        <w:rPr>
          <w:rFonts w:ascii="Verdana" w:hAnsi="Verdana"/>
          <w:b/>
          <w:bCs/>
          <w:sz w:val="20"/>
          <w:szCs w:val="20"/>
          <w:lang w:val="es-CL"/>
        </w:rPr>
      </w:pPr>
      <w:r>
        <w:rPr>
          <w:rFonts w:ascii="Verdana" w:hAnsi="Verdana"/>
          <w:b/>
          <w:bCs/>
          <w:sz w:val="20"/>
          <w:szCs w:val="20"/>
          <w:lang w:val="es-CL"/>
        </w:rPr>
        <w:t>Evidencia N° 1</w:t>
      </w:r>
    </w:p>
    <w:p w14:paraId="3606D19E" w14:textId="2B992B01" w:rsidR="00D34911" w:rsidRPr="009F3680" w:rsidRDefault="009F3680" w:rsidP="00D34911">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Verdana" w:hAnsi="Verdana"/>
          <w:sz w:val="20"/>
          <w:szCs w:val="20"/>
          <w:lang w:val="es-CL"/>
        </w:rPr>
      </w:pPr>
      <w:r w:rsidRPr="009F3680">
        <w:rPr>
          <w:rFonts w:ascii="Verdana" w:hAnsi="Verdana"/>
          <w:sz w:val="20"/>
          <w:szCs w:val="20"/>
          <w:lang w:val="es-CL"/>
        </w:rPr>
        <w:t xml:space="preserve">En la tradicional sociedad griega </w:t>
      </w:r>
      <w:r w:rsidRPr="009F3680">
        <w:rPr>
          <w:rFonts w:ascii="Verdana" w:hAnsi="Verdana"/>
          <w:i/>
          <w:iCs/>
          <w:sz w:val="20"/>
          <w:szCs w:val="20"/>
          <w:u w:val="single"/>
          <w:lang w:val="es-CL"/>
        </w:rPr>
        <w:t>se valoraba más tener un hijo que una hija</w:t>
      </w:r>
      <w:r w:rsidRPr="009F3680">
        <w:rPr>
          <w:rFonts w:ascii="Verdana" w:hAnsi="Verdana"/>
          <w:i/>
          <w:sz w:val="20"/>
          <w:szCs w:val="20"/>
          <w:lang w:val="es-CL"/>
        </w:rPr>
        <w:t>;</w:t>
      </w:r>
      <w:r w:rsidRPr="009F3680">
        <w:rPr>
          <w:rFonts w:ascii="Verdana" w:hAnsi="Verdana"/>
          <w:sz w:val="20"/>
          <w:szCs w:val="20"/>
          <w:lang w:val="es-CL"/>
        </w:rPr>
        <w:t xml:space="preserve"> el varón estaba mejor considerado porque se pensaba que podría ayudar a la economía familiar. En Atenas, hasta los seis años de edad, niños y niñas pasaban la mayor parte del tiempo en compañía de las mujeres de la casa. Un intelectual griego llamado Platón dedicó atención a escribir sobre los juegos infantiles, ya que pensaba que tenían una gran importancia para moldear la personalidad y el desarrollo del talento individual. Recomendó, por ejemplo, que un niño que en el futuro tuviese que ser campesino o albañil practicase con juguetes relacionados con su actividad como adulto (Historia, Geografía y Ciencias Sociales, Texto del Estudiante, 3º básico, Editorial SM, p. 76).</w:t>
      </w:r>
    </w:p>
    <w:p w14:paraId="27FE7FE9" w14:textId="17F67CA1" w:rsidR="00D34911" w:rsidRPr="00D34911" w:rsidRDefault="00D34911" w:rsidP="003D1236">
      <w:pPr>
        <w:pStyle w:val="Sinespaciado"/>
        <w:spacing w:line="360" w:lineRule="auto"/>
        <w:jc w:val="both"/>
        <w:rPr>
          <w:rFonts w:ascii="Verdana" w:hAnsi="Verdana"/>
          <w:b/>
          <w:bCs/>
          <w:sz w:val="20"/>
          <w:szCs w:val="20"/>
        </w:rPr>
      </w:pPr>
    </w:p>
    <w:bookmarkEnd w:id="4"/>
    <w:p w14:paraId="2A4F5459" w14:textId="52AA4695" w:rsidR="00854852" w:rsidRDefault="00663A93" w:rsidP="00A82DF8">
      <w:pPr>
        <w:pStyle w:val="Sinespaciado"/>
        <w:spacing w:line="360" w:lineRule="auto"/>
        <w:jc w:val="both"/>
        <w:rPr>
          <w:rFonts w:ascii="Verdana" w:hAnsi="Verdana"/>
          <w:sz w:val="20"/>
          <w:szCs w:val="20"/>
          <w:lang w:val="es-CL"/>
        </w:rPr>
      </w:pPr>
      <w:r w:rsidRPr="00A82DF8">
        <w:rPr>
          <w:rFonts w:ascii="Verdana" w:hAnsi="Verdana"/>
          <w:sz w:val="20"/>
          <w:szCs w:val="20"/>
          <w:lang w:val="es-CL"/>
        </w:rPr>
        <w:t>En este fragmento se observa un intento por romper</w:t>
      </w:r>
      <w:r w:rsidR="00AB3907" w:rsidRPr="00A82DF8">
        <w:rPr>
          <w:rFonts w:ascii="Verdana" w:hAnsi="Verdana"/>
          <w:sz w:val="20"/>
          <w:szCs w:val="20"/>
          <w:lang w:val="es-CL"/>
        </w:rPr>
        <w:t xml:space="preserve"> con</w:t>
      </w:r>
      <w:r w:rsidRPr="00A82DF8">
        <w:rPr>
          <w:rFonts w:ascii="Verdana" w:hAnsi="Verdana"/>
          <w:sz w:val="20"/>
          <w:szCs w:val="20"/>
          <w:lang w:val="es-CL"/>
        </w:rPr>
        <w:t xml:space="preserve"> la perspectiva </w:t>
      </w:r>
      <w:proofErr w:type="spellStart"/>
      <w:r w:rsidRPr="00A82DF8">
        <w:rPr>
          <w:rFonts w:ascii="Verdana" w:hAnsi="Verdana"/>
          <w:sz w:val="20"/>
          <w:szCs w:val="20"/>
          <w:lang w:val="es-CL"/>
        </w:rPr>
        <w:t>adultoc</w:t>
      </w:r>
      <w:r w:rsidR="009F3680" w:rsidRPr="00A82DF8">
        <w:rPr>
          <w:rFonts w:ascii="Verdana" w:hAnsi="Verdana"/>
          <w:sz w:val="20"/>
          <w:szCs w:val="20"/>
          <w:lang w:val="es-CL"/>
        </w:rPr>
        <w:t>éntrica</w:t>
      </w:r>
      <w:proofErr w:type="spellEnd"/>
      <w:r w:rsidR="00B72A2B" w:rsidRPr="00A82DF8">
        <w:rPr>
          <w:rFonts w:ascii="Verdana" w:hAnsi="Verdana"/>
          <w:sz w:val="20"/>
          <w:szCs w:val="20"/>
          <w:lang w:val="es-CL"/>
        </w:rPr>
        <w:t xml:space="preserve"> que se fo</w:t>
      </w:r>
      <w:r w:rsidR="00C55C1B" w:rsidRPr="00A82DF8">
        <w:rPr>
          <w:rFonts w:ascii="Verdana" w:hAnsi="Verdana"/>
          <w:sz w:val="20"/>
          <w:szCs w:val="20"/>
          <w:lang w:val="es-CL"/>
        </w:rPr>
        <w:t>c</w:t>
      </w:r>
      <w:r w:rsidR="00B72A2B" w:rsidRPr="00A82DF8">
        <w:rPr>
          <w:rFonts w:ascii="Verdana" w:hAnsi="Verdana"/>
          <w:sz w:val="20"/>
          <w:szCs w:val="20"/>
          <w:lang w:val="es-CL"/>
        </w:rPr>
        <w:t>aliza en narrar la acción del hombre adulto</w:t>
      </w:r>
      <w:r w:rsidR="00C55C1B" w:rsidRPr="00A82DF8">
        <w:rPr>
          <w:rFonts w:ascii="Verdana" w:hAnsi="Verdana"/>
          <w:sz w:val="20"/>
          <w:szCs w:val="20"/>
          <w:lang w:val="es-CL"/>
        </w:rPr>
        <w:t xml:space="preserve"> en la historia</w:t>
      </w:r>
      <w:r w:rsidR="00F24529" w:rsidRPr="00A82DF8">
        <w:rPr>
          <w:rFonts w:ascii="Verdana" w:hAnsi="Verdana"/>
          <w:sz w:val="20"/>
          <w:szCs w:val="20"/>
          <w:lang w:val="es-CL"/>
        </w:rPr>
        <w:t xml:space="preserve"> (Punch</w:t>
      </w:r>
      <w:r w:rsidR="009455F5" w:rsidRPr="00A82DF8">
        <w:rPr>
          <w:rFonts w:ascii="Verdana" w:hAnsi="Verdana"/>
          <w:sz w:val="20"/>
          <w:szCs w:val="20"/>
          <w:lang w:val="es-CL"/>
        </w:rPr>
        <w:t>, 2020</w:t>
      </w:r>
      <w:r w:rsidR="00065C29" w:rsidRPr="00A82DF8">
        <w:rPr>
          <w:rFonts w:ascii="Verdana" w:hAnsi="Verdana"/>
          <w:sz w:val="20"/>
          <w:szCs w:val="20"/>
          <w:lang w:val="es-CL"/>
        </w:rPr>
        <w:t xml:space="preserve">), </w:t>
      </w:r>
      <w:r w:rsidR="00D26C1F" w:rsidRPr="00A82DF8">
        <w:rPr>
          <w:rFonts w:ascii="Verdana" w:hAnsi="Verdana"/>
          <w:sz w:val="20"/>
          <w:szCs w:val="20"/>
          <w:lang w:val="es-CL"/>
        </w:rPr>
        <w:t>ya que</w:t>
      </w:r>
      <w:r w:rsidRPr="00A82DF8">
        <w:rPr>
          <w:rFonts w:ascii="Verdana" w:hAnsi="Verdana"/>
          <w:sz w:val="20"/>
          <w:szCs w:val="20"/>
          <w:lang w:val="es-CL"/>
        </w:rPr>
        <w:t xml:space="preserve"> </w:t>
      </w:r>
      <w:r w:rsidR="00AB3907" w:rsidRPr="00A82DF8">
        <w:rPr>
          <w:rFonts w:ascii="Verdana" w:hAnsi="Verdana"/>
          <w:sz w:val="20"/>
          <w:szCs w:val="20"/>
          <w:lang w:val="es-CL"/>
        </w:rPr>
        <w:t>reconoce e</w:t>
      </w:r>
      <w:r w:rsidRPr="00A82DF8">
        <w:rPr>
          <w:rFonts w:ascii="Verdana" w:hAnsi="Verdana"/>
          <w:sz w:val="20"/>
          <w:szCs w:val="20"/>
          <w:lang w:val="es-CL"/>
        </w:rPr>
        <w:t>l papel del infante en la Antigua Grecia</w:t>
      </w:r>
      <w:r w:rsidR="00703EEE" w:rsidRPr="00A82DF8">
        <w:rPr>
          <w:rFonts w:ascii="Verdana" w:hAnsi="Verdana"/>
          <w:sz w:val="20"/>
          <w:szCs w:val="20"/>
          <w:lang w:val="es-CL"/>
        </w:rPr>
        <w:t>; no obstante, el discurso se centra</w:t>
      </w:r>
      <w:r w:rsidR="00AB3907" w:rsidRPr="00A82DF8">
        <w:rPr>
          <w:rFonts w:ascii="Verdana" w:hAnsi="Verdana"/>
          <w:sz w:val="20"/>
          <w:szCs w:val="20"/>
          <w:lang w:val="es-CL"/>
        </w:rPr>
        <w:t>, a partir de una clara diferenciación sexista en la etapa infantil,</w:t>
      </w:r>
      <w:r w:rsidR="00374990" w:rsidRPr="00A82DF8">
        <w:rPr>
          <w:rFonts w:ascii="Verdana" w:hAnsi="Verdana"/>
          <w:sz w:val="20"/>
          <w:szCs w:val="20"/>
          <w:lang w:val="es-CL"/>
        </w:rPr>
        <w:t xml:space="preserve"> en destacar</w:t>
      </w:r>
      <w:r w:rsidR="003652CE" w:rsidRPr="00A82DF8">
        <w:rPr>
          <w:rFonts w:ascii="Verdana" w:hAnsi="Verdana"/>
          <w:sz w:val="20"/>
          <w:szCs w:val="20"/>
          <w:lang w:val="es-CL"/>
        </w:rPr>
        <w:t xml:space="preserve"> el valor del </w:t>
      </w:r>
      <w:r w:rsidR="00A82DF8" w:rsidRPr="00A82DF8">
        <w:rPr>
          <w:rFonts w:ascii="Verdana" w:hAnsi="Verdana"/>
          <w:sz w:val="20"/>
          <w:szCs w:val="20"/>
          <w:lang w:val="es-CL"/>
        </w:rPr>
        <w:t>varón</w:t>
      </w:r>
      <w:r w:rsidR="003652CE" w:rsidRPr="00A82DF8">
        <w:rPr>
          <w:rFonts w:ascii="Verdana" w:hAnsi="Verdana"/>
          <w:sz w:val="20"/>
          <w:szCs w:val="20"/>
          <w:lang w:val="es-CL"/>
        </w:rPr>
        <w:t xml:space="preserve"> por sobre el de la niña como si fuesen elementos adosados al mundo adulto que compiten </w:t>
      </w:r>
      <w:r w:rsidR="00A82DF8" w:rsidRPr="00A82DF8">
        <w:rPr>
          <w:rFonts w:ascii="Verdana" w:hAnsi="Verdana"/>
          <w:sz w:val="20"/>
          <w:szCs w:val="20"/>
          <w:lang w:val="es-CL"/>
        </w:rPr>
        <w:t xml:space="preserve">por ayudar a la economía familiar o por ser el futuro sustento de esta. </w:t>
      </w:r>
      <w:r w:rsidR="00703EEE" w:rsidRPr="00A82DF8">
        <w:rPr>
          <w:rFonts w:ascii="Verdana" w:hAnsi="Verdana"/>
          <w:sz w:val="20"/>
          <w:szCs w:val="20"/>
          <w:lang w:val="es-CL"/>
        </w:rPr>
        <w:t xml:space="preserve">Esto queda ratificado en la </w:t>
      </w:r>
      <w:r w:rsidR="003E7A28" w:rsidRPr="00A82DF8">
        <w:rPr>
          <w:rFonts w:ascii="Verdana" w:hAnsi="Verdana"/>
          <w:sz w:val="20"/>
          <w:szCs w:val="20"/>
          <w:lang w:val="es-CL"/>
        </w:rPr>
        <w:t>referencia que se hace a los estudios de Platón sobre el presunto condicionamiento que genera la práctica de ciertos juegos infantiles en el futuro desempeño laboral de los niños</w:t>
      </w:r>
      <w:r w:rsidR="005B0E27" w:rsidRPr="00A82DF8">
        <w:rPr>
          <w:rFonts w:ascii="Verdana" w:hAnsi="Verdana"/>
          <w:sz w:val="20"/>
          <w:szCs w:val="20"/>
          <w:lang w:val="es-CL"/>
        </w:rPr>
        <w:t xml:space="preserve">. </w:t>
      </w:r>
      <w:r w:rsidR="00053389" w:rsidRPr="00A82DF8">
        <w:rPr>
          <w:rFonts w:ascii="Verdana" w:hAnsi="Verdana"/>
          <w:sz w:val="20"/>
          <w:szCs w:val="20"/>
          <w:lang w:val="es-CL"/>
        </w:rPr>
        <w:t xml:space="preserve">Al respecto, es importante </w:t>
      </w:r>
      <w:r w:rsidR="00244970" w:rsidRPr="00A82DF8">
        <w:rPr>
          <w:rFonts w:ascii="Verdana" w:hAnsi="Verdana"/>
          <w:sz w:val="20"/>
          <w:szCs w:val="20"/>
          <w:lang w:val="es-CL"/>
        </w:rPr>
        <w:t>señalar</w:t>
      </w:r>
      <w:r w:rsidR="005B0E27" w:rsidRPr="00A82DF8">
        <w:rPr>
          <w:rFonts w:ascii="Verdana" w:hAnsi="Verdana"/>
          <w:sz w:val="20"/>
          <w:szCs w:val="20"/>
          <w:lang w:val="es-CL"/>
        </w:rPr>
        <w:t xml:space="preserve"> que no se menciona ningún escrito de Platón que avale tal posicionamiento, descartando la importancia de obras como Diálogos Platónicos </w:t>
      </w:r>
      <w:r w:rsidR="00303647" w:rsidRPr="00A82DF8">
        <w:rPr>
          <w:rFonts w:ascii="Verdana" w:hAnsi="Verdana"/>
          <w:sz w:val="20"/>
          <w:szCs w:val="20"/>
          <w:lang w:val="es-CL"/>
        </w:rPr>
        <w:t xml:space="preserve">y Cartas de Platón </w:t>
      </w:r>
      <w:r w:rsidR="005B0E27" w:rsidRPr="00A82DF8">
        <w:rPr>
          <w:rFonts w:ascii="Verdana" w:hAnsi="Verdana"/>
          <w:sz w:val="20"/>
          <w:szCs w:val="20"/>
          <w:lang w:val="es-CL"/>
        </w:rPr>
        <w:t>en el ámbito educativo.</w:t>
      </w:r>
    </w:p>
    <w:p w14:paraId="6962B5E4" w14:textId="77777777" w:rsidR="00A82DF8" w:rsidRPr="00A82DF8" w:rsidRDefault="00A82DF8" w:rsidP="00A82DF8">
      <w:pPr>
        <w:pStyle w:val="Sinespaciado"/>
        <w:spacing w:line="360" w:lineRule="auto"/>
        <w:jc w:val="both"/>
        <w:rPr>
          <w:rFonts w:ascii="Verdana" w:hAnsi="Verdana"/>
          <w:sz w:val="20"/>
          <w:szCs w:val="20"/>
          <w:lang w:val="es-CL"/>
        </w:rPr>
      </w:pPr>
    </w:p>
    <w:p w14:paraId="3F4A48CB" w14:textId="48214ABD" w:rsidR="00A4082D" w:rsidRPr="00CF1FC9" w:rsidRDefault="00E06B5B" w:rsidP="003D1236">
      <w:pPr>
        <w:pStyle w:val="Sinespaciado"/>
        <w:spacing w:line="360" w:lineRule="auto"/>
        <w:jc w:val="both"/>
        <w:rPr>
          <w:rFonts w:ascii="Verdana" w:hAnsi="Verdana"/>
          <w:bCs/>
          <w:sz w:val="20"/>
          <w:szCs w:val="20"/>
          <w:lang w:val="es-CL"/>
        </w:rPr>
      </w:pPr>
      <w:r w:rsidRPr="00BF3F34">
        <w:rPr>
          <w:rFonts w:ascii="Verdana" w:hAnsi="Verdana"/>
          <w:b/>
          <w:bCs/>
          <w:sz w:val="20"/>
          <w:szCs w:val="20"/>
          <w:lang w:val="es-CL"/>
        </w:rPr>
        <w:t xml:space="preserve">Categoría: </w:t>
      </w:r>
      <w:r w:rsidRPr="00CF1FC9">
        <w:rPr>
          <w:rFonts w:ascii="Verdana" w:hAnsi="Verdana"/>
          <w:bCs/>
          <w:sz w:val="20"/>
          <w:szCs w:val="20"/>
          <w:lang w:val="es-CL"/>
        </w:rPr>
        <w:t>Androcentrismo;</w:t>
      </w:r>
      <w:r w:rsidRPr="00BF3F34">
        <w:rPr>
          <w:rFonts w:ascii="Verdana" w:hAnsi="Verdana"/>
          <w:b/>
          <w:bCs/>
          <w:sz w:val="20"/>
          <w:szCs w:val="20"/>
          <w:lang w:val="es-CL"/>
        </w:rPr>
        <w:t xml:space="preserve"> Subcategoría</w:t>
      </w:r>
      <w:r w:rsidR="00AE671F">
        <w:rPr>
          <w:rFonts w:ascii="Verdana" w:hAnsi="Verdana"/>
          <w:b/>
          <w:bCs/>
          <w:sz w:val="20"/>
          <w:szCs w:val="20"/>
          <w:lang w:val="es-CL"/>
        </w:rPr>
        <w:t xml:space="preserve"> 2</w:t>
      </w:r>
      <w:r w:rsidRPr="00BF3F34">
        <w:rPr>
          <w:rFonts w:ascii="Verdana" w:hAnsi="Verdana"/>
          <w:b/>
          <w:bCs/>
          <w:sz w:val="20"/>
          <w:szCs w:val="20"/>
          <w:lang w:val="es-CL"/>
        </w:rPr>
        <w:t xml:space="preserve">: </w:t>
      </w:r>
      <w:r w:rsidR="002B21F6" w:rsidRPr="00CF1FC9">
        <w:rPr>
          <w:rFonts w:ascii="Verdana" w:hAnsi="Verdana"/>
          <w:bCs/>
          <w:sz w:val="20"/>
          <w:szCs w:val="20"/>
          <w:lang w:val="es-CL"/>
        </w:rPr>
        <w:t>Dicotomía</w:t>
      </w:r>
      <w:r w:rsidR="00B67D8B" w:rsidRPr="00CF1FC9">
        <w:rPr>
          <w:rFonts w:ascii="Verdana" w:hAnsi="Verdana"/>
          <w:bCs/>
          <w:sz w:val="20"/>
          <w:szCs w:val="20"/>
          <w:lang w:val="es-CL"/>
        </w:rPr>
        <w:t xml:space="preserve"> entre los roles</w:t>
      </w:r>
      <w:r w:rsidR="002B21F6" w:rsidRPr="00CF1FC9">
        <w:rPr>
          <w:rFonts w:ascii="Verdana" w:hAnsi="Verdana"/>
          <w:bCs/>
          <w:sz w:val="20"/>
          <w:szCs w:val="20"/>
          <w:lang w:val="es-CL"/>
        </w:rPr>
        <w:t xml:space="preserve"> p</w:t>
      </w:r>
      <w:r w:rsidR="00794D93" w:rsidRPr="00CF1FC9">
        <w:rPr>
          <w:rFonts w:ascii="Verdana" w:hAnsi="Verdana"/>
          <w:bCs/>
          <w:sz w:val="20"/>
          <w:szCs w:val="20"/>
          <w:lang w:val="es-CL"/>
        </w:rPr>
        <w:t>ú</w:t>
      </w:r>
      <w:r w:rsidR="002B21F6" w:rsidRPr="00CF1FC9">
        <w:rPr>
          <w:rFonts w:ascii="Verdana" w:hAnsi="Verdana"/>
          <w:bCs/>
          <w:sz w:val="20"/>
          <w:szCs w:val="20"/>
          <w:lang w:val="es-CL"/>
        </w:rPr>
        <w:t>blico</w:t>
      </w:r>
      <w:r w:rsidR="0083603F" w:rsidRPr="00CF1FC9">
        <w:rPr>
          <w:rFonts w:ascii="Verdana" w:hAnsi="Verdana"/>
          <w:bCs/>
          <w:sz w:val="20"/>
          <w:szCs w:val="20"/>
          <w:lang w:val="es-CL"/>
        </w:rPr>
        <w:t xml:space="preserve"> </w:t>
      </w:r>
      <w:r w:rsidR="00DB7075" w:rsidRPr="00CF1FC9">
        <w:rPr>
          <w:rFonts w:ascii="Verdana" w:hAnsi="Verdana"/>
          <w:bCs/>
          <w:sz w:val="20"/>
          <w:szCs w:val="20"/>
          <w:lang w:val="es-CL"/>
        </w:rPr>
        <w:t>masculino</w:t>
      </w:r>
      <w:r w:rsidR="002B21F6" w:rsidRPr="00CF1FC9">
        <w:rPr>
          <w:rFonts w:ascii="Verdana" w:hAnsi="Verdana"/>
          <w:bCs/>
          <w:sz w:val="20"/>
          <w:szCs w:val="20"/>
          <w:lang w:val="es-CL"/>
        </w:rPr>
        <w:t xml:space="preserve"> </w:t>
      </w:r>
      <w:r w:rsidR="00B67D8B" w:rsidRPr="00CF1FC9">
        <w:rPr>
          <w:rFonts w:ascii="Verdana" w:hAnsi="Verdana"/>
          <w:bCs/>
          <w:sz w:val="20"/>
          <w:szCs w:val="20"/>
          <w:lang w:val="es-CL"/>
        </w:rPr>
        <w:t>y</w:t>
      </w:r>
      <w:r w:rsidR="00794D93" w:rsidRPr="00CF1FC9">
        <w:rPr>
          <w:rFonts w:ascii="Verdana" w:hAnsi="Verdana"/>
          <w:bCs/>
          <w:sz w:val="20"/>
          <w:szCs w:val="20"/>
          <w:lang w:val="es-CL"/>
        </w:rPr>
        <w:t xml:space="preserve"> </w:t>
      </w:r>
      <w:r w:rsidR="002B21F6" w:rsidRPr="00CF1FC9">
        <w:rPr>
          <w:rFonts w:ascii="Verdana" w:hAnsi="Verdana"/>
          <w:bCs/>
          <w:sz w:val="20"/>
          <w:szCs w:val="20"/>
          <w:lang w:val="es-CL"/>
        </w:rPr>
        <w:t>privado</w:t>
      </w:r>
      <w:r w:rsidR="0083603F" w:rsidRPr="00CF1FC9">
        <w:rPr>
          <w:rFonts w:ascii="Verdana" w:hAnsi="Verdana"/>
          <w:bCs/>
          <w:sz w:val="20"/>
          <w:szCs w:val="20"/>
          <w:lang w:val="es-CL"/>
        </w:rPr>
        <w:t xml:space="preserve"> </w:t>
      </w:r>
      <w:r w:rsidR="00DB7075" w:rsidRPr="00CF1FC9">
        <w:rPr>
          <w:rFonts w:ascii="Verdana" w:hAnsi="Verdana"/>
          <w:bCs/>
          <w:sz w:val="20"/>
          <w:szCs w:val="20"/>
          <w:lang w:val="es-CL"/>
        </w:rPr>
        <w:t>femenino</w:t>
      </w:r>
    </w:p>
    <w:p w14:paraId="50810B6D" w14:textId="10DD9205" w:rsidR="00E06B5B" w:rsidRDefault="00E06B5B" w:rsidP="003D1236">
      <w:pPr>
        <w:pStyle w:val="Sinespaciado"/>
        <w:spacing w:line="360" w:lineRule="auto"/>
        <w:jc w:val="both"/>
        <w:rPr>
          <w:rFonts w:ascii="Verdana" w:hAnsi="Verdana"/>
          <w:sz w:val="20"/>
          <w:szCs w:val="20"/>
          <w:lang w:val="es-CL"/>
        </w:rPr>
      </w:pPr>
    </w:p>
    <w:p w14:paraId="18D7CC4B" w14:textId="4F2B3C08" w:rsidR="009F3680" w:rsidRDefault="009F3680" w:rsidP="009F3680">
      <w:pPr>
        <w:pStyle w:val="Sinespaciado"/>
        <w:spacing w:line="360" w:lineRule="auto"/>
        <w:jc w:val="both"/>
        <w:rPr>
          <w:rFonts w:ascii="Verdana" w:hAnsi="Verdana"/>
          <w:b/>
          <w:bCs/>
          <w:sz w:val="20"/>
          <w:szCs w:val="20"/>
          <w:lang w:val="es-CL"/>
        </w:rPr>
      </w:pPr>
      <w:r>
        <w:rPr>
          <w:rFonts w:ascii="Verdana" w:hAnsi="Verdana"/>
          <w:b/>
          <w:bCs/>
          <w:sz w:val="20"/>
          <w:szCs w:val="20"/>
          <w:lang w:val="es-CL"/>
        </w:rPr>
        <w:t>Evidencia N° 2</w:t>
      </w:r>
    </w:p>
    <w:p w14:paraId="309E1419" w14:textId="77777777" w:rsidR="009F3680" w:rsidRPr="009F3680" w:rsidRDefault="009F3680" w:rsidP="009F3680">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Verdana" w:hAnsi="Verdana"/>
          <w:sz w:val="20"/>
          <w:szCs w:val="20"/>
          <w:lang w:val="es-CL"/>
        </w:rPr>
      </w:pPr>
      <w:r w:rsidRPr="009F3680">
        <w:rPr>
          <w:rFonts w:ascii="Verdana" w:hAnsi="Verdana"/>
          <w:sz w:val="20"/>
          <w:szCs w:val="20"/>
          <w:lang w:val="es-CL"/>
        </w:rPr>
        <w:t xml:space="preserve">Al igual que hoy, las personas del pasado tenían diversos oficios que les permitían subsistir y mantener a sus familias. Además de </w:t>
      </w:r>
      <w:r w:rsidRPr="009F3680">
        <w:rPr>
          <w:rFonts w:ascii="Verdana" w:hAnsi="Verdana"/>
          <w:i/>
          <w:iCs/>
          <w:sz w:val="20"/>
          <w:szCs w:val="20"/>
          <w:u w:val="single"/>
          <w:lang w:val="es-CL"/>
        </w:rPr>
        <w:t>médicos</w:t>
      </w:r>
      <w:r w:rsidRPr="009F3680">
        <w:rPr>
          <w:rFonts w:ascii="Verdana" w:hAnsi="Verdana"/>
          <w:sz w:val="20"/>
          <w:szCs w:val="20"/>
          <w:lang w:val="es-CL"/>
        </w:rPr>
        <w:t xml:space="preserve">, </w:t>
      </w:r>
      <w:r w:rsidRPr="009F3680">
        <w:rPr>
          <w:rFonts w:ascii="Verdana" w:hAnsi="Verdana"/>
          <w:i/>
          <w:iCs/>
          <w:sz w:val="20"/>
          <w:szCs w:val="20"/>
          <w:u w:val="single"/>
          <w:lang w:val="es-CL"/>
        </w:rPr>
        <w:t>herreros</w:t>
      </w:r>
      <w:r w:rsidRPr="009F3680">
        <w:rPr>
          <w:rFonts w:ascii="Verdana" w:hAnsi="Verdana"/>
          <w:sz w:val="20"/>
          <w:szCs w:val="20"/>
          <w:lang w:val="es-CL"/>
        </w:rPr>
        <w:t xml:space="preserve">, </w:t>
      </w:r>
      <w:r w:rsidRPr="009F3680">
        <w:rPr>
          <w:rFonts w:ascii="Verdana" w:hAnsi="Verdana"/>
          <w:i/>
          <w:iCs/>
          <w:sz w:val="20"/>
          <w:szCs w:val="20"/>
          <w:u w:val="single"/>
          <w:lang w:val="es-CL"/>
        </w:rPr>
        <w:t>políticos</w:t>
      </w:r>
      <w:r w:rsidRPr="009F3680">
        <w:rPr>
          <w:rFonts w:ascii="Verdana" w:hAnsi="Verdana"/>
          <w:sz w:val="20"/>
          <w:szCs w:val="20"/>
          <w:lang w:val="es-CL"/>
        </w:rPr>
        <w:t xml:space="preserve">, </w:t>
      </w:r>
      <w:r w:rsidRPr="009F3680">
        <w:rPr>
          <w:rFonts w:ascii="Verdana" w:hAnsi="Verdana"/>
          <w:i/>
          <w:iCs/>
          <w:sz w:val="20"/>
          <w:szCs w:val="20"/>
          <w:u w:val="single"/>
          <w:lang w:val="es-CL"/>
        </w:rPr>
        <w:t>soldados</w:t>
      </w:r>
      <w:r w:rsidRPr="009F3680">
        <w:rPr>
          <w:rFonts w:ascii="Verdana" w:hAnsi="Verdana"/>
          <w:sz w:val="20"/>
          <w:szCs w:val="20"/>
          <w:lang w:val="es-CL"/>
        </w:rPr>
        <w:t xml:space="preserve"> y </w:t>
      </w:r>
      <w:r w:rsidRPr="009F3680">
        <w:rPr>
          <w:rFonts w:ascii="Verdana" w:hAnsi="Verdana"/>
          <w:i/>
          <w:iCs/>
          <w:sz w:val="20"/>
          <w:szCs w:val="20"/>
          <w:u w:val="single"/>
          <w:lang w:val="es-CL"/>
        </w:rPr>
        <w:t>campesinos</w:t>
      </w:r>
      <w:r w:rsidRPr="009F3680">
        <w:rPr>
          <w:rFonts w:ascii="Verdana" w:hAnsi="Verdana"/>
          <w:sz w:val="20"/>
          <w:szCs w:val="20"/>
          <w:lang w:val="es-CL"/>
        </w:rPr>
        <w:t xml:space="preserve">, en Grecia y Roma había </w:t>
      </w:r>
      <w:r w:rsidRPr="009F3680">
        <w:rPr>
          <w:rFonts w:ascii="Verdana" w:hAnsi="Verdana"/>
          <w:i/>
          <w:iCs/>
          <w:sz w:val="20"/>
          <w:szCs w:val="20"/>
          <w:u w:val="single"/>
          <w:lang w:val="es-CL"/>
        </w:rPr>
        <w:t>arquitectos</w:t>
      </w:r>
      <w:r w:rsidRPr="009F3680">
        <w:rPr>
          <w:rFonts w:ascii="Verdana" w:hAnsi="Verdana"/>
          <w:sz w:val="20"/>
          <w:szCs w:val="20"/>
          <w:lang w:val="es-CL"/>
        </w:rPr>
        <w:t xml:space="preserve">, </w:t>
      </w:r>
      <w:r w:rsidRPr="009F3680">
        <w:rPr>
          <w:rFonts w:ascii="Verdana" w:hAnsi="Verdana"/>
          <w:i/>
          <w:iCs/>
          <w:sz w:val="20"/>
          <w:szCs w:val="20"/>
          <w:u w:val="single"/>
          <w:lang w:val="es-CL"/>
        </w:rPr>
        <w:t>artesanos</w:t>
      </w:r>
      <w:r w:rsidRPr="009F3680">
        <w:rPr>
          <w:rFonts w:ascii="Verdana" w:hAnsi="Verdana"/>
          <w:sz w:val="20"/>
          <w:szCs w:val="20"/>
          <w:lang w:val="es-CL"/>
        </w:rPr>
        <w:t xml:space="preserve">, </w:t>
      </w:r>
      <w:r w:rsidRPr="009F3680">
        <w:rPr>
          <w:rFonts w:ascii="Verdana" w:hAnsi="Verdana"/>
          <w:i/>
          <w:iCs/>
          <w:sz w:val="20"/>
          <w:szCs w:val="20"/>
          <w:u w:val="single"/>
          <w:lang w:val="es-CL"/>
        </w:rPr>
        <w:t>músicos</w:t>
      </w:r>
      <w:r w:rsidRPr="009F3680">
        <w:rPr>
          <w:rFonts w:ascii="Verdana" w:hAnsi="Verdana"/>
          <w:sz w:val="20"/>
          <w:szCs w:val="20"/>
          <w:lang w:val="es-CL"/>
        </w:rPr>
        <w:t xml:space="preserve"> y </w:t>
      </w:r>
      <w:r w:rsidRPr="009F3680">
        <w:rPr>
          <w:rFonts w:ascii="Verdana" w:hAnsi="Verdana"/>
          <w:i/>
          <w:iCs/>
          <w:sz w:val="20"/>
          <w:szCs w:val="20"/>
          <w:u w:val="single"/>
          <w:lang w:val="es-CL"/>
        </w:rPr>
        <w:t>marinos</w:t>
      </w:r>
      <w:r w:rsidRPr="009F3680">
        <w:rPr>
          <w:rFonts w:ascii="Verdana" w:hAnsi="Verdana"/>
          <w:sz w:val="20"/>
          <w:szCs w:val="20"/>
          <w:lang w:val="es-CL"/>
        </w:rPr>
        <w:t xml:space="preserve">, entre otras ocupaciones. Estos oficios eran realizados, la mayoría de las veces, por hombres; las mujeres además de cumplir </w:t>
      </w:r>
      <w:r w:rsidRPr="009F3680">
        <w:rPr>
          <w:rFonts w:ascii="Verdana" w:hAnsi="Verdana"/>
          <w:i/>
          <w:iCs/>
          <w:sz w:val="20"/>
          <w:szCs w:val="20"/>
          <w:u w:val="single"/>
          <w:lang w:val="es-CL"/>
        </w:rPr>
        <w:t>la función de administrar el hogar y educar a sus hijos e hijas</w:t>
      </w:r>
      <w:r w:rsidRPr="009F3680">
        <w:rPr>
          <w:rFonts w:ascii="Verdana" w:hAnsi="Verdana"/>
          <w:sz w:val="20"/>
          <w:szCs w:val="20"/>
          <w:lang w:val="es-CL"/>
        </w:rPr>
        <w:t>, participaban en ciertas labores agrícolas y en el comercio, tejían y confeccionaban las vestimentas (Historia, Geografía y Ciencias Sociales, Texto del Estudiante, 3º básico, Editorial SM, p. 102).</w:t>
      </w:r>
    </w:p>
    <w:p w14:paraId="044CDDE9" w14:textId="3A577173" w:rsidR="009F3680" w:rsidRDefault="009F3680" w:rsidP="003D1236">
      <w:pPr>
        <w:pStyle w:val="Sinespaciado"/>
        <w:spacing w:line="360" w:lineRule="auto"/>
        <w:jc w:val="both"/>
        <w:rPr>
          <w:rFonts w:ascii="Verdana" w:hAnsi="Verdana"/>
          <w:sz w:val="20"/>
          <w:szCs w:val="20"/>
          <w:lang w:val="es-CL"/>
        </w:rPr>
      </w:pPr>
    </w:p>
    <w:p w14:paraId="01A0C6E8" w14:textId="5AA50A43" w:rsidR="00794D93" w:rsidRPr="00986F4E" w:rsidRDefault="00947C9C" w:rsidP="003D1236">
      <w:pPr>
        <w:pStyle w:val="Sinespaciado"/>
        <w:spacing w:line="360" w:lineRule="auto"/>
        <w:jc w:val="both"/>
        <w:rPr>
          <w:rFonts w:ascii="Verdana" w:hAnsi="Verdana" w:cs="Times New Roman"/>
          <w:sz w:val="20"/>
          <w:szCs w:val="20"/>
          <w:lang w:val="es-CL"/>
        </w:rPr>
      </w:pPr>
      <w:r w:rsidRPr="00986F4E">
        <w:rPr>
          <w:rFonts w:ascii="Verdana" w:hAnsi="Verdana" w:cs="Times New Roman"/>
          <w:sz w:val="20"/>
          <w:szCs w:val="20"/>
          <w:lang w:val="es-CL"/>
        </w:rPr>
        <w:t xml:space="preserve">En </w:t>
      </w:r>
      <w:r w:rsidR="00AE2D98" w:rsidRPr="00986F4E">
        <w:rPr>
          <w:rFonts w:ascii="Verdana" w:hAnsi="Verdana" w:cs="Times New Roman"/>
          <w:sz w:val="20"/>
          <w:szCs w:val="20"/>
          <w:lang w:val="es-CL"/>
        </w:rPr>
        <w:t>esta</w:t>
      </w:r>
      <w:r w:rsidRPr="00986F4E">
        <w:rPr>
          <w:rFonts w:ascii="Verdana" w:hAnsi="Verdana" w:cs="Times New Roman"/>
          <w:sz w:val="20"/>
          <w:szCs w:val="20"/>
          <w:lang w:val="es-CL"/>
        </w:rPr>
        <w:t xml:space="preserve"> cita</w:t>
      </w:r>
      <w:r w:rsidR="00AE2D98" w:rsidRPr="00986F4E">
        <w:rPr>
          <w:rFonts w:ascii="Verdana" w:hAnsi="Verdana" w:cs="Times New Roman"/>
          <w:sz w:val="20"/>
          <w:szCs w:val="20"/>
          <w:lang w:val="es-CL"/>
        </w:rPr>
        <w:t xml:space="preserve"> se evidencia una clara dicotomía</w:t>
      </w:r>
      <w:r w:rsidR="008C28A2" w:rsidRPr="00986F4E">
        <w:rPr>
          <w:rFonts w:ascii="Verdana" w:hAnsi="Verdana" w:cs="Times New Roman"/>
          <w:sz w:val="20"/>
          <w:szCs w:val="20"/>
        </w:rPr>
        <w:t xml:space="preserve"> </w:t>
      </w:r>
      <w:r w:rsidR="00AA6065" w:rsidRPr="00986F4E">
        <w:rPr>
          <w:rFonts w:ascii="Verdana" w:hAnsi="Verdana" w:cs="Times New Roman"/>
          <w:sz w:val="20"/>
          <w:szCs w:val="20"/>
          <w:lang w:val="es-CL"/>
        </w:rPr>
        <w:t>entre los roles</w:t>
      </w:r>
      <w:r w:rsidR="008C28A2" w:rsidRPr="00986F4E">
        <w:rPr>
          <w:rFonts w:ascii="Verdana" w:hAnsi="Verdana" w:cs="Times New Roman"/>
          <w:sz w:val="20"/>
          <w:szCs w:val="20"/>
          <w:lang w:val="es-CL"/>
        </w:rPr>
        <w:t xml:space="preserve"> público</w:t>
      </w:r>
      <w:r w:rsidR="006253AD" w:rsidRPr="00986F4E">
        <w:rPr>
          <w:rFonts w:ascii="Verdana" w:hAnsi="Verdana" w:cs="Times New Roman"/>
          <w:sz w:val="20"/>
          <w:szCs w:val="20"/>
          <w:lang w:val="es-CL"/>
        </w:rPr>
        <w:t xml:space="preserve"> </w:t>
      </w:r>
      <w:r w:rsidR="00AA6065" w:rsidRPr="00986F4E">
        <w:rPr>
          <w:rFonts w:ascii="Verdana" w:hAnsi="Verdana" w:cs="Times New Roman"/>
          <w:sz w:val="20"/>
          <w:szCs w:val="20"/>
          <w:lang w:val="es-CL"/>
        </w:rPr>
        <w:t>masculino y</w:t>
      </w:r>
      <w:r w:rsidR="008C28A2" w:rsidRPr="00986F4E">
        <w:rPr>
          <w:rFonts w:ascii="Verdana" w:hAnsi="Verdana" w:cs="Times New Roman"/>
          <w:sz w:val="20"/>
          <w:szCs w:val="20"/>
          <w:lang w:val="es-CL"/>
        </w:rPr>
        <w:t xml:space="preserve"> privado</w:t>
      </w:r>
      <w:r w:rsidR="006253AD" w:rsidRPr="00986F4E">
        <w:rPr>
          <w:rFonts w:ascii="Verdana" w:hAnsi="Verdana" w:cs="Times New Roman"/>
          <w:sz w:val="20"/>
          <w:szCs w:val="20"/>
          <w:lang w:val="es-CL"/>
        </w:rPr>
        <w:t xml:space="preserve"> </w:t>
      </w:r>
      <w:r w:rsidR="008C28A2" w:rsidRPr="00986F4E">
        <w:rPr>
          <w:rFonts w:ascii="Verdana" w:hAnsi="Verdana" w:cs="Times New Roman"/>
          <w:sz w:val="20"/>
          <w:szCs w:val="20"/>
          <w:lang w:val="es-CL"/>
        </w:rPr>
        <w:t>femenino. E</w:t>
      </w:r>
      <w:r w:rsidR="00AE2D98" w:rsidRPr="00986F4E">
        <w:rPr>
          <w:rFonts w:ascii="Verdana" w:hAnsi="Verdana" w:cs="Times New Roman"/>
          <w:sz w:val="20"/>
          <w:szCs w:val="20"/>
          <w:lang w:val="es-CL"/>
        </w:rPr>
        <w:t>n la primera parte,</w:t>
      </w:r>
      <w:r w:rsidRPr="00986F4E">
        <w:rPr>
          <w:rFonts w:ascii="Verdana" w:hAnsi="Verdana" w:cs="Times New Roman"/>
          <w:sz w:val="20"/>
          <w:szCs w:val="20"/>
          <w:lang w:val="es-CL"/>
        </w:rPr>
        <w:t xml:space="preserve"> </w:t>
      </w:r>
      <w:r w:rsidR="00CE5E60" w:rsidRPr="00986F4E">
        <w:rPr>
          <w:rFonts w:ascii="Verdana" w:hAnsi="Verdana" w:cs="Times New Roman"/>
          <w:sz w:val="20"/>
          <w:szCs w:val="20"/>
          <w:lang w:val="es-CL"/>
        </w:rPr>
        <w:t xml:space="preserve">se pretende </w:t>
      </w:r>
      <w:r w:rsidR="00842201" w:rsidRPr="00986F4E">
        <w:rPr>
          <w:rFonts w:ascii="Verdana" w:hAnsi="Verdana" w:cs="Times New Roman"/>
          <w:sz w:val="20"/>
          <w:szCs w:val="20"/>
          <w:lang w:val="es-CL"/>
        </w:rPr>
        <w:t>destacar</w:t>
      </w:r>
      <w:r w:rsidR="00E04A37" w:rsidRPr="00986F4E">
        <w:rPr>
          <w:rFonts w:ascii="Verdana" w:hAnsi="Verdana" w:cs="Times New Roman"/>
          <w:sz w:val="20"/>
          <w:szCs w:val="20"/>
          <w:lang w:val="es-CL"/>
        </w:rPr>
        <w:t>, a través de</w:t>
      </w:r>
      <w:r w:rsidR="007E1937" w:rsidRPr="00986F4E">
        <w:rPr>
          <w:rFonts w:ascii="Verdana" w:hAnsi="Verdana" w:cs="Times New Roman"/>
          <w:sz w:val="20"/>
          <w:szCs w:val="20"/>
          <w:lang w:val="es-CL"/>
        </w:rPr>
        <w:t>l uso de</w:t>
      </w:r>
      <w:r w:rsidR="00E04A37" w:rsidRPr="00986F4E">
        <w:rPr>
          <w:rFonts w:ascii="Verdana" w:hAnsi="Verdana" w:cs="Times New Roman"/>
          <w:sz w:val="20"/>
          <w:szCs w:val="20"/>
          <w:lang w:val="es-CL"/>
        </w:rPr>
        <w:t xml:space="preserve"> plurales masculinos,</w:t>
      </w:r>
      <w:r w:rsidRPr="00986F4E">
        <w:rPr>
          <w:rFonts w:ascii="Verdana" w:hAnsi="Verdana" w:cs="Times New Roman"/>
          <w:sz w:val="20"/>
          <w:szCs w:val="20"/>
          <w:lang w:val="es-CL"/>
        </w:rPr>
        <w:t xml:space="preserve"> </w:t>
      </w:r>
      <w:r w:rsidRPr="00986F4E">
        <w:rPr>
          <w:rFonts w:ascii="Verdana" w:hAnsi="Verdana" w:cs="Times New Roman"/>
          <w:sz w:val="20"/>
          <w:szCs w:val="20"/>
          <w:lang w:val="es-CL"/>
        </w:rPr>
        <w:lastRenderedPageBreak/>
        <w:t xml:space="preserve">la idea de que los hombres desempeñaban las funciones más importantes </w:t>
      </w:r>
      <w:r w:rsidR="00CE5E60" w:rsidRPr="00986F4E">
        <w:rPr>
          <w:rFonts w:ascii="Verdana" w:hAnsi="Verdana" w:cs="Times New Roman"/>
          <w:sz w:val="20"/>
          <w:szCs w:val="20"/>
          <w:lang w:val="es-CL"/>
        </w:rPr>
        <w:t>de la</w:t>
      </w:r>
      <w:r w:rsidR="006A1F97" w:rsidRPr="00986F4E">
        <w:rPr>
          <w:rFonts w:ascii="Verdana" w:hAnsi="Verdana" w:cs="Times New Roman"/>
          <w:sz w:val="20"/>
          <w:szCs w:val="20"/>
          <w:lang w:val="es-CL"/>
        </w:rPr>
        <w:t xml:space="preserve"> sociedad</w:t>
      </w:r>
      <w:r w:rsidR="00CE5E60" w:rsidRPr="00986F4E">
        <w:rPr>
          <w:rFonts w:ascii="Verdana" w:hAnsi="Verdana" w:cs="Times New Roman"/>
          <w:sz w:val="20"/>
          <w:szCs w:val="20"/>
          <w:lang w:val="es-CL"/>
        </w:rPr>
        <w:t xml:space="preserve">; </w:t>
      </w:r>
      <w:r w:rsidR="0002409F" w:rsidRPr="00986F4E">
        <w:rPr>
          <w:rFonts w:ascii="Verdana" w:hAnsi="Verdana" w:cs="Times New Roman"/>
          <w:sz w:val="20"/>
          <w:szCs w:val="20"/>
          <w:lang w:val="es-CL"/>
        </w:rPr>
        <w:t>mientras que</w:t>
      </w:r>
      <w:r w:rsidRPr="00986F4E">
        <w:rPr>
          <w:rFonts w:ascii="Verdana" w:hAnsi="Verdana" w:cs="Times New Roman"/>
          <w:sz w:val="20"/>
          <w:szCs w:val="20"/>
          <w:lang w:val="es-CL"/>
        </w:rPr>
        <w:t>,</w:t>
      </w:r>
      <w:r w:rsidR="00AE2D98" w:rsidRPr="00986F4E">
        <w:rPr>
          <w:rFonts w:ascii="Verdana" w:hAnsi="Verdana" w:cs="Times New Roman"/>
          <w:sz w:val="20"/>
          <w:szCs w:val="20"/>
          <w:lang w:val="es-CL"/>
        </w:rPr>
        <w:t xml:space="preserve"> en la segunda parte del extracto, se </w:t>
      </w:r>
      <w:r w:rsidR="00570F6C" w:rsidRPr="00986F4E">
        <w:rPr>
          <w:rFonts w:ascii="Verdana" w:hAnsi="Verdana" w:cs="Times New Roman"/>
          <w:sz w:val="20"/>
          <w:szCs w:val="20"/>
          <w:lang w:val="es-CL"/>
        </w:rPr>
        <w:t xml:space="preserve">argumenta </w:t>
      </w:r>
      <w:r w:rsidR="0002409F" w:rsidRPr="00986F4E">
        <w:rPr>
          <w:rFonts w:ascii="Verdana" w:hAnsi="Verdana" w:cs="Times New Roman"/>
          <w:sz w:val="20"/>
          <w:szCs w:val="20"/>
          <w:lang w:val="es-CL"/>
        </w:rPr>
        <w:t>que las</w:t>
      </w:r>
      <w:r w:rsidR="00570F6C" w:rsidRPr="00986F4E">
        <w:rPr>
          <w:rFonts w:ascii="Verdana" w:hAnsi="Verdana" w:cs="Times New Roman"/>
          <w:sz w:val="20"/>
          <w:szCs w:val="20"/>
          <w:lang w:val="es-CL"/>
        </w:rPr>
        <w:t xml:space="preserve"> </w:t>
      </w:r>
      <w:r w:rsidRPr="00986F4E">
        <w:rPr>
          <w:rFonts w:ascii="Verdana" w:hAnsi="Verdana" w:cs="Times New Roman"/>
          <w:sz w:val="20"/>
          <w:szCs w:val="20"/>
          <w:lang w:val="es-CL"/>
        </w:rPr>
        <w:t>labores</w:t>
      </w:r>
      <w:r w:rsidR="00CE5E60" w:rsidRPr="00986F4E">
        <w:rPr>
          <w:rFonts w:ascii="Verdana" w:hAnsi="Verdana" w:cs="Times New Roman"/>
          <w:sz w:val="20"/>
          <w:szCs w:val="20"/>
          <w:lang w:val="es-CL"/>
        </w:rPr>
        <w:t xml:space="preserve"> femeninas</w:t>
      </w:r>
      <w:r w:rsidR="0002409F" w:rsidRPr="00986F4E">
        <w:rPr>
          <w:rFonts w:ascii="Verdana" w:hAnsi="Verdana" w:cs="Times New Roman"/>
          <w:sz w:val="20"/>
          <w:szCs w:val="20"/>
          <w:lang w:val="es-CL"/>
        </w:rPr>
        <w:t xml:space="preserve"> esenciales</w:t>
      </w:r>
      <w:r w:rsidR="00842201" w:rsidRPr="00986F4E">
        <w:rPr>
          <w:rFonts w:ascii="Verdana" w:hAnsi="Verdana" w:cs="Times New Roman"/>
          <w:sz w:val="20"/>
          <w:szCs w:val="20"/>
          <w:lang w:val="es-CL"/>
        </w:rPr>
        <w:t xml:space="preserve"> se </w:t>
      </w:r>
      <w:r w:rsidR="005A66BF" w:rsidRPr="00986F4E">
        <w:rPr>
          <w:rFonts w:ascii="Verdana" w:hAnsi="Verdana" w:cs="Times New Roman"/>
          <w:sz w:val="20"/>
          <w:szCs w:val="20"/>
          <w:lang w:val="es-CL"/>
        </w:rPr>
        <w:t>desarrollaban al interior</w:t>
      </w:r>
      <w:r w:rsidR="009E357E" w:rsidRPr="00986F4E">
        <w:rPr>
          <w:rFonts w:ascii="Verdana" w:hAnsi="Verdana" w:cs="Times New Roman"/>
          <w:sz w:val="20"/>
          <w:szCs w:val="20"/>
          <w:lang w:val="es-CL"/>
        </w:rPr>
        <w:t xml:space="preserve"> </w:t>
      </w:r>
      <w:r w:rsidR="005A66BF" w:rsidRPr="00986F4E">
        <w:rPr>
          <w:rFonts w:ascii="Verdana" w:hAnsi="Verdana" w:cs="Times New Roman"/>
          <w:sz w:val="20"/>
          <w:szCs w:val="20"/>
          <w:lang w:val="es-CL"/>
        </w:rPr>
        <w:t>de</w:t>
      </w:r>
      <w:r w:rsidR="005C748D" w:rsidRPr="00986F4E">
        <w:rPr>
          <w:rFonts w:ascii="Verdana" w:hAnsi="Verdana" w:cs="Times New Roman"/>
          <w:sz w:val="20"/>
          <w:szCs w:val="20"/>
          <w:lang w:val="es-CL"/>
        </w:rPr>
        <w:t xml:space="preserve"> la esfera doméstica</w:t>
      </w:r>
      <w:r w:rsidR="006A1F97" w:rsidRPr="00986F4E">
        <w:rPr>
          <w:rFonts w:ascii="Verdana" w:hAnsi="Verdana" w:cs="Times New Roman"/>
          <w:sz w:val="20"/>
          <w:szCs w:val="20"/>
          <w:lang w:val="es-CL"/>
        </w:rPr>
        <w:t xml:space="preserve">. </w:t>
      </w:r>
      <w:r w:rsidR="00E04A37" w:rsidRPr="00986F4E">
        <w:rPr>
          <w:rFonts w:ascii="Verdana" w:hAnsi="Verdana" w:cs="Times New Roman"/>
          <w:sz w:val="20"/>
          <w:szCs w:val="20"/>
          <w:lang w:val="es-CL"/>
        </w:rPr>
        <w:t>En esta línea,</w:t>
      </w:r>
      <w:r w:rsidR="0014177E" w:rsidRPr="00986F4E">
        <w:rPr>
          <w:rFonts w:ascii="Verdana" w:hAnsi="Verdana" w:cs="Times New Roman"/>
          <w:sz w:val="20"/>
          <w:szCs w:val="20"/>
          <w:lang w:val="es-CL"/>
        </w:rPr>
        <w:t xml:space="preserve"> siguiendo a López y Gutiérrez (2020),</w:t>
      </w:r>
      <w:r w:rsidR="00E04A37" w:rsidRPr="00986F4E">
        <w:rPr>
          <w:rFonts w:ascii="Verdana" w:hAnsi="Verdana" w:cs="Times New Roman"/>
          <w:sz w:val="20"/>
          <w:szCs w:val="20"/>
          <w:lang w:val="es-CL"/>
        </w:rPr>
        <w:t xml:space="preserve"> el párrafo se basa en un enfoque</w:t>
      </w:r>
      <w:r w:rsidR="007E1937" w:rsidRPr="00986F4E">
        <w:rPr>
          <w:rFonts w:ascii="Verdana" w:hAnsi="Verdana" w:cs="Times New Roman"/>
          <w:sz w:val="20"/>
          <w:szCs w:val="20"/>
          <w:lang w:val="es-CL"/>
        </w:rPr>
        <w:t xml:space="preserve"> sexista que se encarga de </w:t>
      </w:r>
      <w:r w:rsidR="00990755" w:rsidRPr="00986F4E">
        <w:rPr>
          <w:rFonts w:ascii="Verdana" w:hAnsi="Verdana" w:cs="Times New Roman"/>
          <w:sz w:val="20"/>
          <w:szCs w:val="20"/>
          <w:lang w:val="es-CL"/>
        </w:rPr>
        <w:t>restringir</w:t>
      </w:r>
      <w:r w:rsidR="007E1937" w:rsidRPr="00986F4E">
        <w:rPr>
          <w:rFonts w:ascii="Verdana" w:hAnsi="Verdana" w:cs="Times New Roman"/>
          <w:sz w:val="20"/>
          <w:szCs w:val="20"/>
          <w:lang w:val="es-CL"/>
        </w:rPr>
        <w:t xml:space="preserve"> </w:t>
      </w:r>
      <w:r w:rsidR="00990755" w:rsidRPr="00986F4E">
        <w:rPr>
          <w:rFonts w:ascii="Verdana" w:hAnsi="Verdana" w:cs="Times New Roman"/>
          <w:sz w:val="20"/>
          <w:szCs w:val="20"/>
          <w:lang w:val="es-CL"/>
        </w:rPr>
        <w:t xml:space="preserve">la acción </w:t>
      </w:r>
      <w:r w:rsidR="00B00D9F" w:rsidRPr="00986F4E">
        <w:rPr>
          <w:rFonts w:ascii="Verdana" w:hAnsi="Verdana" w:cs="Times New Roman"/>
          <w:sz w:val="20"/>
          <w:szCs w:val="20"/>
          <w:lang w:val="es-CL"/>
        </w:rPr>
        <w:t>masculina a</w:t>
      </w:r>
      <w:r w:rsidR="003764E7" w:rsidRPr="00986F4E">
        <w:rPr>
          <w:rFonts w:ascii="Verdana" w:hAnsi="Verdana" w:cs="Times New Roman"/>
          <w:sz w:val="20"/>
          <w:szCs w:val="20"/>
          <w:lang w:val="es-CL"/>
        </w:rPr>
        <w:t>l ámbito público</w:t>
      </w:r>
      <w:r w:rsidR="007E1937" w:rsidRPr="00986F4E">
        <w:rPr>
          <w:rFonts w:ascii="Verdana" w:hAnsi="Verdana" w:cs="Times New Roman"/>
          <w:sz w:val="20"/>
          <w:szCs w:val="20"/>
          <w:lang w:val="es-CL"/>
        </w:rPr>
        <w:t xml:space="preserve"> y </w:t>
      </w:r>
      <w:r w:rsidR="00990755" w:rsidRPr="00986F4E">
        <w:rPr>
          <w:rFonts w:ascii="Verdana" w:hAnsi="Verdana" w:cs="Times New Roman"/>
          <w:sz w:val="20"/>
          <w:szCs w:val="20"/>
          <w:lang w:val="es-CL"/>
        </w:rPr>
        <w:t xml:space="preserve">la </w:t>
      </w:r>
      <w:r w:rsidR="00B00D9F" w:rsidRPr="00986F4E">
        <w:rPr>
          <w:rFonts w:ascii="Verdana" w:hAnsi="Verdana" w:cs="Times New Roman"/>
          <w:sz w:val="20"/>
          <w:szCs w:val="20"/>
          <w:lang w:val="es-CL"/>
        </w:rPr>
        <w:t>femenina a</w:t>
      </w:r>
      <w:r w:rsidR="003764E7" w:rsidRPr="00986F4E">
        <w:rPr>
          <w:rFonts w:ascii="Verdana" w:hAnsi="Verdana" w:cs="Times New Roman"/>
          <w:sz w:val="20"/>
          <w:szCs w:val="20"/>
          <w:lang w:val="es-CL"/>
        </w:rPr>
        <w:t>l privado</w:t>
      </w:r>
      <w:r w:rsidR="00E04A37" w:rsidRPr="00986F4E">
        <w:rPr>
          <w:rFonts w:ascii="Verdana" w:hAnsi="Verdana" w:cs="Times New Roman"/>
          <w:sz w:val="20"/>
          <w:szCs w:val="20"/>
          <w:lang w:val="es-CL"/>
        </w:rPr>
        <w:t>, obviando otr</w:t>
      </w:r>
      <w:r w:rsidR="00016B7A" w:rsidRPr="00986F4E">
        <w:rPr>
          <w:rFonts w:ascii="Verdana" w:hAnsi="Verdana" w:cs="Times New Roman"/>
          <w:sz w:val="20"/>
          <w:szCs w:val="20"/>
          <w:lang w:val="es-CL"/>
        </w:rPr>
        <w:t>os criterios</w:t>
      </w:r>
      <w:r w:rsidR="00B00D9F" w:rsidRPr="00986F4E">
        <w:rPr>
          <w:rFonts w:ascii="Verdana" w:hAnsi="Verdana" w:cs="Times New Roman"/>
          <w:sz w:val="20"/>
          <w:szCs w:val="20"/>
          <w:lang w:val="es-CL"/>
        </w:rPr>
        <w:t xml:space="preserve"> más allá del género</w:t>
      </w:r>
      <w:r w:rsidR="00990755" w:rsidRPr="00986F4E">
        <w:rPr>
          <w:rFonts w:ascii="Verdana" w:hAnsi="Verdana" w:cs="Times New Roman"/>
          <w:sz w:val="20"/>
          <w:szCs w:val="20"/>
          <w:lang w:val="es-CL"/>
        </w:rPr>
        <w:t>, como la clase social</w:t>
      </w:r>
      <w:r w:rsidR="000518FA" w:rsidRPr="00986F4E">
        <w:rPr>
          <w:rFonts w:ascii="Verdana" w:hAnsi="Verdana" w:cs="Times New Roman"/>
          <w:sz w:val="20"/>
          <w:szCs w:val="20"/>
          <w:lang w:val="es-CL"/>
        </w:rPr>
        <w:t>, el origen étnico</w:t>
      </w:r>
      <w:r w:rsidR="00990755" w:rsidRPr="00986F4E">
        <w:rPr>
          <w:rFonts w:ascii="Verdana" w:hAnsi="Verdana" w:cs="Times New Roman"/>
          <w:sz w:val="20"/>
          <w:szCs w:val="20"/>
          <w:lang w:val="es-CL"/>
        </w:rPr>
        <w:t xml:space="preserve"> o el grupo etario,</w:t>
      </w:r>
      <w:r w:rsidR="00E04A37" w:rsidRPr="00986F4E">
        <w:rPr>
          <w:rFonts w:ascii="Verdana" w:hAnsi="Verdana" w:cs="Times New Roman"/>
          <w:sz w:val="20"/>
          <w:szCs w:val="20"/>
          <w:lang w:val="es-CL"/>
        </w:rPr>
        <w:t xml:space="preserve"> </w:t>
      </w:r>
      <w:r w:rsidR="00730FE9" w:rsidRPr="00986F4E">
        <w:rPr>
          <w:rFonts w:ascii="Verdana" w:hAnsi="Verdana" w:cs="Times New Roman"/>
          <w:sz w:val="20"/>
          <w:szCs w:val="20"/>
          <w:lang w:val="es-CL"/>
        </w:rPr>
        <w:t xml:space="preserve">que permitan </w:t>
      </w:r>
      <w:r w:rsidR="00E04A37" w:rsidRPr="00986F4E">
        <w:rPr>
          <w:rFonts w:ascii="Verdana" w:hAnsi="Verdana" w:cs="Times New Roman"/>
          <w:sz w:val="20"/>
          <w:szCs w:val="20"/>
          <w:lang w:val="es-CL"/>
        </w:rPr>
        <w:t>enriquecer</w:t>
      </w:r>
      <w:r w:rsidR="00DF0860" w:rsidRPr="00986F4E">
        <w:rPr>
          <w:rFonts w:ascii="Verdana" w:hAnsi="Verdana" w:cs="Times New Roman"/>
          <w:sz w:val="20"/>
          <w:szCs w:val="20"/>
          <w:lang w:val="es-CL"/>
        </w:rPr>
        <w:t xml:space="preserve"> la explicación </w:t>
      </w:r>
      <w:r w:rsidR="00990755" w:rsidRPr="00986F4E">
        <w:rPr>
          <w:rFonts w:ascii="Verdana" w:hAnsi="Verdana" w:cs="Times New Roman"/>
          <w:sz w:val="20"/>
          <w:szCs w:val="20"/>
          <w:lang w:val="es-CL"/>
        </w:rPr>
        <w:t>previst</w:t>
      </w:r>
      <w:r w:rsidR="00DF0860" w:rsidRPr="00986F4E">
        <w:rPr>
          <w:rFonts w:ascii="Verdana" w:hAnsi="Verdana" w:cs="Times New Roman"/>
          <w:sz w:val="20"/>
          <w:szCs w:val="20"/>
          <w:lang w:val="es-CL"/>
        </w:rPr>
        <w:t>a</w:t>
      </w:r>
      <w:r w:rsidR="007E1937" w:rsidRPr="00986F4E">
        <w:rPr>
          <w:rFonts w:ascii="Verdana" w:hAnsi="Verdana" w:cs="Times New Roman"/>
          <w:sz w:val="20"/>
          <w:szCs w:val="20"/>
          <w:lang w:val="es-CL"/>
        </w:rPr>
        <w:t>.</w:t>
      </w:r>
      <w:r w:rsidR="0030423E" w:rsidRPr="00986F4E">
        <w:rPr>
          <w:rFonts w:ascii="Verdana" w:hAnsi="Verdana" w:cs="Times New Roman"/>
          <w:sz w:val="20"/>
          <w:szCs w:val="20"/>
          <w:lang w:val="es-CL"/>
        </w:rPr>
        <w:t xml:space="preserve"> </w:t>
      </w:r>
      <w:r w:rsidR="00634996" w:rsidRPr="00986F4E">
        <w:rPr>
          <w:rFonts w:ascii="Verdana" w:hAnsi="Verdana" w:cs="Times New Roman"/>
          <w:sz w:val="20"/>
          <w:szCs w:val="20"/>
          <w:lang w:val="es-CL"/>
        </w:rPr>
        <w:t>Por tal motivo</w:t>
      </w:r>
      <w:r w:rsidR="00016B7A" w:rsidRPr="00986F4E">
        <w:rPr>
          <w:rFonts w:ascii="Verdana" w:hAnsi="Verdana" w:cs="Times New Roman"/>
          <w:sz w:val="20"/>
          <w:szCs w:val="20"/>
          <w:lang w:val="es-CL"/>
        </w:rPr>
        <w:t>,</w:t>
      </w:r>
      <w:r w:rsidR="008C28A2" w:rsidRPr="00986F4E">
        <w:rPr>
          <w:rFonts w:ascii="Verdana" w:hAnsi="Verdana" w:cs="Times New Roman"/>
          <w:sz w:val="20"/>
          <w:szCs w:val="20"/>
        </w:rPr>
        <w:t xml:space="preserve"> </w:t>
      </w:r>
      <w:r w:rsidR="008C28A2" w:rsidRPr="00986F4E">
        <w:rPr>
          <w:rFonts w:ascii="Verdana" w:hAnsi="Verdana" w:cs="Times New Roman"/>
          <w:sz w:val="20"/>
          <w:szCs w:val="20"/>
          <w:lang w:val="es-CL"/>
        </w:rPr>
        <w:t>como señala Cid (2015),</w:t>
      </w:r>
      <w:r w:rsidR="003F2E20">
        <w:rPr>
          <w:rFonts w:ascii="Verdana" w:hAnsi="Verdana" w:cs="Times New Roman"/>
          <w:sz w:val="20"/>
          <w:szCs w:val="20"/>
          <w:lang w:val="es-CL"/>
        </w:rPr>
        <w:t xml:space="preserve"> conviene</w:t>
      </w:r>
      <w:r w:rsidR="006253AD" w:rsidRPr="00986F4E">
        <w:rPr>
          <w:rFonts w:ascii="Verdana" w:hAnsi="Verdana" w:cs="Times New Roman"/>
          <w:sz w:val="20"/>
          <w:szCs w:val="20"/>
          <w:lang w:val="es-CL"/>
        </w:rPr>
        <w:t xml:space="preserve"> notar que</w:t>
      </w:r>
      <w:r w:rsidR="00016B7A" w:rsidRPr="00986F4E">
        <w:rPr>
          <w:rFonts w:ascii="Verdana" w:hAnsi="Verdana" w:cs="Times New Roman"/>
          <w:sz w:val="20"/>
          <w:szCs w:val="20"/>
          <w:lang w:val="es-CL"/>
        </w:rPr>
        <w:t xml:space="preserve"> e</w:t>
      </w:r>
      <w:r w:rsidR="00F7355A" w:rsidRPr="00986F4E">
        <w:rPr>
          <w:rFonts w:ascii="Verdana" w:hAnsi="Verdana" w:cs="Times New Roman"/>
          <w:sz w:val="20"/>
          <w:szCs w:val="20"/>
          <w:lang w:val="es-CL"/>
        </w:rPr>
        <w:t>l análisis no debe limitarse al discurso de la domesticidad, ya que resulta indispensable visibilizar</w:t>
      </w:r>
      <w:r w:rsidR="0030423E" w:rsidRPr="00986F4E">
        <w:rPr>
          <w:rFonts w:ascii="Verdana" w:hAnsi="Verdana" w:cs="Times New Roman"/>
          <w:sz w:val="20"/>
          <w:szCs w:val="20"/>
          <w:lang w:val="es-CL"/>
        </w:rPr>
        <w:t xml:space="preserve"> </w:t>
      </w:r>
      <w:r w:rsidR="00F7355A" w:rsidRPr="00986F4E">
        <w:rPr>
          <w:rFonts w:ascii="Verdana" w:hAnsi="Verdana" w:cs="Times New Roman"/>
          <w:sz w:val="20"/>
          <w:szCs w:val="20"/>
          <w:lang w:val="es-CL"/>
        </w:rPr>
        <w:t>otras problemáticas que afectaban a las mujeres</w:t>
      </w:r>
      <w:r w:rsidR="0030423E" w:rsidRPr="00986F4E">
        <w:rPr>
          <w:rFonts w:ascii="Verdana" w:hAnsi="Verdana" w:cs="Times New Roman"/>
          <w:sz w:val="20"/>
          <w:szCs w:val="20"/>
          <w:lang w:val="es-CL"/>
        </w:rPr>
        <w:t xml:space="preserve"> en las sociedades antiguas,</w:t>
      </w:r>
      <w:r w:rsidR="00F7355A" w:rsidRPr="00986F4E">
        <w:rPr>
          <w:rFonts w:ascii="Verdana" w:hAnsi="Verdana" w:cs="Times New Roman"/>
          <w:sz w:val="20"/>
          <w:szCs w:val="20"/>
          <w:lang w:val="es-CL"/>
        </w:rPr>
        <w:t xml:space="preserve"> tales como</w:t>
      </w:r>
      <w:r w:rsidR="00986F4E" w:rsidRPr="00986F4E">
        <w:rPr>
          <w:rFonts w:ascii="Verdana" w:hAnsi="Verdana" w:cs="Times New Roman"/>
          <w:sz w:val="20"/>
          <w:szCs w:val="20"/>
          <w:lang w:val="es-CL"/>
        </w:rPr>
        <w:t xml:space="preserve"> la vida cotidiana de las niñas</w:t>
      </w:r>
      <w:r w:rsidR="00621884" w:rsidRPr="00986F4E">
        <w:rPr>
          <w:rFonts w:ascii="Verdana" w:hAnsi="Verdana" w:cs="Times New Roman"/>
          <w:sz w:val="20"/>
          <w:szCs w:val="20"/>
          <w:lang w:val="es-CL"/>
        </w:rPr>
        <w:t xml:space="preserve">, </w:t>
      </w:r>
      <w:r w:rsidR="00F7355A" w:rsidRPr="00986F4E">
        <w:rPr>
          <w:rFonts w:ascii="Verdana" w:hAnsi="Verdana" w:cs="Times New Roman"/>
          <w:sz w:val="20"/>
          <w:szCs w:val="20"/>
          <w:lang w:val="es-CL"/>
        </w:rPr>
        <w:t xml:space="preserve">la relación religiosa que </w:t>
      </w:r>
      <w:r w:rsidR="0030423E" w:rsidRPr="00986F4E">
        <w:rPr>
          <w:rFonts w:ascii="Verdana" w:hAnsi="Verdana" w:cs="Times New Roman"/>
          <w:sz w:val="20"/>
          <w:szCs w:val="20"/>
          <w:lang w:val="es-CL"/>
        </w:rPr>
        <w:t>opone</w:t>
      </w:r>
      <w:r w:rsidR="00F7355A" w:rsidRPr="00986F4E">
        <w:rPr>
          <w:rFonts w:ascii="Verdana" w:hAnsi="Verdana" w:cs="Times New Roman"/>
          <w:sz w:val="20"/>
          <w:szCs w:val="20"/>
          <w:lang w:val="es-CL"/>
        </w:rPr>
        <w:t xml:space="preserve"> a</w:t>
      </w:r>
      <w:r w:rsidR="0030423E" w:rsidRPr="00986F4E">
        <w:rPr>
          <w:rFonts w:ascii="Verdana" w:hAnsi="Verdana" w:cs="Times New Roman"/>
          <w:sz w:val="20"/>
          <w:szCs w:val="20"/>
          <w:lang w:val="es-CL"/>
        </w:rPr>
        <w:t xml:space="preserve"> diosas y mortales</w:t>
      </w:r>
      <w:r w:rsidR="00621884" w:rsidRPr="00986F4E">
        <w:rPr>
          <w:rFonts w:ascii="Verdana" w:hAnsi="Verdana" w:cs="Times New Roman"/>
          <w:sz w:val="20"/>
          <w:szCs w:val="20"/>
          <w:lang w:val="es-CL"/>
        </w:rPr>
        <w:t xml:space="preserve">, y </w:t>
      </w:r>
      <w:r w:rsidR="008C4056" w:rsidRPr="00986F4E">
        <w:rPr>
          <w:rFonts w:ascii="Verdana" w:hAnsi="Verdana" w:cs="Times New Roman"/>
          <w:sz w:val="20"/>
          <w:szCs w:val="20"/>
          <w:lang w:val="es-CL"/>
        </w:rPr>
        <w:t xml:space="preserve">el caso de mujeres </w:t>
      </w:r>
      <w:bookmarkStart w:id="5" w:name="_Hlk38812858"/>
      <w:r w:rsidR="00452EAB" w:rsidRPr="00986F4E">
        <w:rPr>
          <w:rFonts w:ascii="Verdana" w:hAnsi="Verdana" w:cs="Times New Roman"/>
          <w:sz w:val="20"/>
          <w:szCs w:val="20"/>
          <w:lang w:val="es-CL"/>
        </w:rPr>
        <w:t>«virtuosas»</w:t>
      </w:r>
      <w:r w:rsidR="008C4056" w:rsidRPr="00986F4E">
        <w:rPr>
          <w:rFonts w:ascii="Verdana" w:hAnsi="Verdana" w:cs="Times New Roman"/>
          <w:sz w:val="20"/>
          <w:szCs w:val="20"/>
          <w:lang w:val="es-CL"/>
        </w:rPr>
        <w:t xml:space="preserve"> </w:t>
      </w:r>
      <w:bookmarkEnd w:id="5"/>
      <w:r w:rsidR="008C4056" w:rsidRPr="00986F4E">
        <w:rPr>
          <w:rFonts w:ascii="Verdana" w:hAnsi="Verdana" w:cs="Times New Roman"/>
          <w:sz w:val="20"/>
          <w:szCs w:val="20"/>
          <w:lang w:val="es-CL"/>
        </w:rPr>
        <w:t>q</w:t>
      </w:r>
      <w:r w:rsidR="00B12300" w:rsidRPr="00986F4E">
        <w:rPr>
          <w:rFonts w:ascii="Verdana" w:hAnsi="Verdana" w:cs="Times New Roman"/>
          <w:sz w:val="20"/>
          <w:szCs w:val="20"/>
          <w:lang w:val="es-CL"/>
        </w:rPr>
        <w:t>ue sirvieron como referentes</w:t>
      </w:r>
      <w:r w:rsidR="00F175D0" w:rsidRPr="00986F4E">
        <w:rPr>
          <w:rFonts w:ascii="Verdana" w:hAnsi="Verdana" w:cs="Times New Roman"/>
          <w:sz w:val="20"/>
          <w:szCs w:val="20"/>
          <w:lang w:val="es-CL"/>
        </w:rPr>
        <w:t xml:space="preserve"> éticos</w:t>
      </w:r>
      <w:r w:rsidR="00B12300" w:rsidRPr="00986F4E">
        <w:rPr>
          <w:rFonts w:ascii="Verdana" w:hAnsi="Verdana" w:cs="Times New Roman"/>
          <w:sz w:val="20"/>
          <w:szCs w:val="20"/>
          <w:lang w:val="es-CL"/>
        </w:rPr>
        <w:t xml:space="preserve"> </w:t>
      </w:r>
      <w:r w:rsidR="00F175D0" w:rsidRPr="00986F4E">
        <w:rPr>
          <w:rFonts w:ascii="Verdana" w:hAnsi="Verdana" w:cs="Times New Roman"/>
          <w:sz w:val="20"/>
          <w:szCs w:val="20"/>
          <w:lang w:val="es-CL"/>
        </w:rPr>
        <w:t xml:space="preserve">y morales </w:t>
      </w:r>
      <w:r w:rsidR="007400E6" w:rsidRPr="00986F4E">
        <w:rPr>
          <w:rFonts w:ascii="Verdana" w:hAnsi="Verdana" w:cs="Times New Roman"/>
          <w:sz w:val="20"/>
          <w:szCs w:val="20"/>
          <w:lang w:val="es-CL"/>
        </w:rPr>
        <w:t>durante el periodo grecorromano</w:t>
      </w:r>
      <w:r w:rsidR="00621884" w:rsidRPr="00986F4E">
        <w:rPr>
          <w:rFonts w:ascii="Verdana" w:hAnsi="Verdana" w:cs="Times New Roman"/>
          <w:sz w:val="20"/>
          <w:szCs w:val="20"/>
          <w:lang w:val="es-CL"/>
        </w:rPr>
        <w:t>.</w:t>
      </w:r>
    </w:p>
    <w:p w14:paraId="245CB0C2" w14:textId="13D737D7" w:rsidR="006E1152" w:rsidRDefault="006E1152" w:rsidP="003D1236">
      <w:pPr>
        <w:pStyle w:val="Sinespaciado"/>
        <w:spacing w:line="360" w:lineRule="auto"/>
        <w:jc w:val="both"/>
        <w:rPr>
          <w:rFonts w:ascii="Verdana" w:hAnsi="Verdana"/>
          <w:sz w:val="20"/>
          <w:szCs w:val="20"/>
          <w:lang w:val="es-CL"/>
        </w:rPr>
      </w:pPr>
    </w:p>
    <w:p w14:paraId="30A872CA" w14:textId="79703AB2" w:rsidR="00AA6065" w:rsidRDefault="00AA6065" w:rsidP="00AA6065">
      <w:pPr>
        <w:pStyle w:val="Sinespaciado"/>
        <w:spacing w:line="360" w:lineRule="auto"/>
        <w:jc w:val="both"/>
        <w:rPr>
          <w:rFonts w:ascii="Verdana" w:hAnsi="Verdana"/>
          <w:b/>
          <w:bCs/>
          <w:sz w:val="20"/>
          <w:szCs w:val="20"/>
          <w:lang w:val="es-CL"/>
        </w:rPr>
      </w:pPr>
      <w:r>
        <w:rPr>
          <w:rFonts w:ascii="Verdana" w:hAnsi="Verdana"/>
          <w:b/>
          <w:bCs/>
          <w:sz w:val="20"/>
          <w:szCs w:val="20"/>
          <w:lang w:val="es-CL"/>
        </w:rPr>
        <w:t>Evidencia N° 3</w:t>
      </w:r>
    </w:p>
    <w:p w14:paraId="394A175D" w14:textId="77777777" w:rsidR="00AA6065" w:rsidRPr="00AA6065" w:rsidRDefault="00AA6065" w:rsidP="00AA6065">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Verdana" w:hAnsi="Verdana"/>
          <w:sz w:val="20"/>
          <w:szCs w:val="20"/>
          <w:lang w:val="es-CL"/>
        </w:rPr>
      </w:pPr>
      <w:r w:rsidRPr="00AA6065">
        <w:rPr>
          <w:rFonts w:ascii="Verdana" w:hAnsi="Verdana"/>
          <w:sz w:val="20"/>
          <w:szCs w:val="20"/>
          <w:lang w:val="es-CL"/>
        </w:rPr>
        <w:t xml:space="preserve">La sociedad romana fue patriarcal. Solo los hombres patricios, y luego plebeyos, fueron considerados </w:t>
      </w:r>
      <w:r w:rsidRPr="00AA6065">
        <w:rPr>
          <w:rFonts w:ascii="Verdana" w:hAnsi="Verdana"/>
          <w:i/>
          <w:iCs/>
          <w:sz w:val="20"/>
          <w:szCs w:val="20"/>
          <w:u w:val="single"/>
          <w:lang w:val="es-CL"/>
        </w:rPr>
        <w:t>ciudadanos con derechos políticos</w:t>
      </w:r>
      <w:r w:rsidRPr="00AA6065">
        <w:rPr>
          <w:rFonts w:ascii="Verdana" w:hAnsi="Verdana"/>
          <w:sz w:val="20"/>
          <w:szCs w:val="20"/>
          <w:lang w:val="es-CL"/>
        </w:rPr>
        <w:t xml:space="preserve">. Tanto las mujeres, como los niños y los esclavos estaban bajo la tutela de sus respectivos </w:t>
      </w:r>
      <w:proofErr w:type="spellStart"/>
      <w:r w:rsidRPr="00AA6065">
        <w:rPr>
          <w:rFonts w:ascii="Verdana" w:hAnsi="Verdana"/>
          <w:iCs/>
          <w:sz w:val="20"/>
          <w:szCs w:val="20"/>
          <w:lang w:val="es-CL"/>
        </w:rPr>
        <w:t>pater</w:t>
      </w:r>
      <w:proofErr w:type="spellEnd"/>
      <w:r w:rsidRPr="00AA6065">
        <w:rPr>
          <w:rFonts w:ascii="Verdana" w:hAnsi="Verdana"/>
          <w:iCs/>
          <w:sz w:val="20"/>
          <w:szCs w:val="20"/>
          <w:lang w:val="es-CL"/>
        </w:rPr>
        <w:t xml:space="preserve"> familias </w:t>
      </w:r>
      <w:r w:rsidRPr="00AA6065">
        <w:rPr>
          <w:rFonts w:ascii="Verdana" w:hAnsi="Verdana"/>
          <w:sz w:val="20"/>
          <w:szCs w:val="20"/>
          <w:lang w:val="es-CL"/>
        </w:rPr>
        <w:t xml:space="preserve">(hombres cabeza de familia). No obstante, las mujeres tuvieron un </w:t>
      </w:r>
      <w:r w:rsidRPr="00AA6065">
        <w:rPr>
          <w:rFonts w:ascii="Verdana" w:hAnsi="Verdana"/>
          <w:i/>
          <w:iCs/>
          <w:sz w:val="20"/>
          <w:szCs w:val="20"/>
          <w:u w:val="single"/>
          <w:lang w:val="es-CL"/>
        </w:rPr>
        <w:t>destacado rol en el ámbito privado</w:t>
      </w:r>
      <w:r w:rsidRPr="00AA6065">
        <w:rPr>
          <w:rFonts w:ascii="Verdana" w:hAnsi="Verdana"/>
          <w:sz w:val="20"/>
          <w:szCs w:val="20"/>
          <w:lang w:val="es-CL"/>
        </w:rPr>
        <w:t>. Las mujeres más ricas podían influir, desde ese espacio, en la política. Por su parte, las mujeres del pueblo trabajaban en los campos, realizaban algunos oficios manuales y asumían las labores domésticas (Historia, Geografía y Ciencias Sociales, Texto del Estudiante, 7º básico, Editorial SM, p. 92).</w:t>
      </w:r>
    </w:p>
    <w:p w14:paraId="7C74FC04" w14:textId="77777777" w:rsidR="00AA6065" w:rsidRPr="003B6473" w:rsidRDefault="00AA6065" w:rsidP="00AA6065">
      <w:pPr>
        <w:pStyle w:val="Sinespaciado"/>
        <w:spacing w:line="360" w:lineRule="auto"/>
        <w:jc w:val="both"/>
        <w:rPr>
          <w:rFonts w:ascii="Verdana" w:hAnsi="Verdana"/>
          <w:sz w:val="20"/>
          <w:szCs w:val="20"/>
          <w:lang w:val="es-CL"/>
        </w:rPr>
      </w:pPr>
    </w:p>
    <w:p w14:paraId="21A5876A" w14:textId="3420CE45" w:rsidR="00E06B5B" w:rsidRPr="003B6473" w:rsidRDefault="00E06B5B" w:rsidP="003D1236">
      <w:pPr>
        <w:pStyle w:val="Sinespaciado"/>
        <w:spacing w:line="360" w:lineRule="auto"/>
        <w:jc w:val="both"/>
        <w:rPr>
          <w:rFonts w:ascii="Verdana" w:hAnsi="Verdana"/>
          <w:sz w:val="20"/>
          <w:szCs w:val="20"/>
          <w:lang w:val="es-CL"/>
        </w:rPr>
      </w:pPr>
      <w:r w:rsidRPr="003B6473">
        <w:rPr>
          <w:rFonts w:ascii="Verdana" w:hAnsi="Verdana"/>
          <w:sz w:val="20"/>
          <w:szCs w:val="20"/>
          <w:lang w:val="es-CL"/>
        </w:rPr>
        <w:t xml:space="preserve">El propósito de este extracto es, por una parte, exponer una visión patriarcal y androcéntrica de la historia que pretende resaltar el papel del hombre en la vida pública y restringir la actuación femenina al ámbito doméstico; y, por otra, busca ignorar la alteridad de los </w:t>
      </w:r>
      <w:bookmarkStart w:id="6" w:name="_Hlk38813372"/>
      <w:r w:rsidR="00760E77" w:rsidRPr="003B6473">
        <w:rPr>
          <w:rFonts w:ascii="Verdana" w:hAnsi="Verdana"/>
          <w:sz w:val="20"/>
          <w:szCs w:val="20"/>
          <w:lang w:val="es-CL"/>
        </w:rPr>
        <w:t>«otros»</w:t>
      </w:r>
      <w:bookmarkEnd w:id="6"/>
      <w:r w:rsidR="00027DC5" w:rsidRPr="003B6473">
        <w:rPr>
          <w:rFonts w:ascii="Verdana" w:hAnsi="Verdana"/>
          <w:sz w:val="20"/>
          <w:szCs w:val="20"/>
          <w:lang w:val="es-CL"/>
        </w:rPr>
        <w:t xml:space="preserve"> por</w:t>
      </w:r>
      <w:r w:rsidRPr="003B6473">
        <w:rPr>
          <w:rFonts w:ascii="Verdana" w:hAnsi="Verdana"/>
          <w:sz w:val="20"/>
          <w:szCs w:val="20"/>
          <w:lang w:val="es-CL"/>
        </w:rPr>
        <w:t>que el discurso histórico no se presenta desde la perspectiva de las mujeres,</w:t>
      </w:r>
      <w:r w:rsidR="003B6473" w:rsidRPr="003B6473">
        <w:rPr>
          <w:rFonts w:ascii="Verdana" w:hAnsi="Verdana"/>
          <w:sz w:val="20"/>
          <w:szCs w:val="20"/>
          <w:lang w:val="es-CL"/>
        </w:rPr>
        <w:t xml:space="preserve"> de</w:t>
      </w:r>
      <w:r w:rsidRPr="003B6473">
        <w:rPr>
          <w:rFonts w:ascii="Verdana" w:hAnsi="Verdana"/>
          <w:sz w:val="20"/>
          <w:szCs w:val="20"/>
          <w:lang w:val="es-CL"/>
        </w:rPr>
        <w:t xml:space="preserve"> los niños o</w:t>
      </w:r>
      <w:r w:rsidR="003B6473" w:rsidRPr="003B6473">
        <w:rPr>
          <w:rFonts w:ascii="Verdana" w:hAnsi="Verdana"/>
          <w:sz w:val="20"/>
          <w:szCs w:val="20"/>
          <w:lang w:val="es-CL"/>
        </w:rPr>
        <w:t xml:space="preserve"> de</w:t>
      </w:r>
      <w:r w:rsidRPr="003B6473">
        <w:rPr>
          <w:rFonts w:ascii="Verdana" w:hAnsi="Verdana"/>
          <w:sz w:val="20"/>
          <w:szCs w:val="20"/>
          <w:lang w:val="es-CL"/>
        </w:rPr>
        <w:t xml:space="preserve"> los esclavos. Esta </w:t>
      </w:r>
      <w:r w:rsidR="00027DC5" w:rsidRPr="003B6473">
        <w:rPr>
          <w:rFonts w:ascii="Verdana" w:hAnsi="Verdana"/>
          <w:sz w:val="20"/>
          <w:szCs w:val="20"/>
          <w:lang w:val="es-CL"/>
        </w:rPr>
        <w:t>lectura</w:t>
      </w:r>
      <w:r w:rsidRPr="003B6473">
        <w:rPr>
          <w:rFonts w:ascii="Verdana" w:hAnsi="Verdana"/>
          <w:sz w:val="20"/>
          <w:szCs w:val="20"/>
          <w:lang w:val="es-CL"/>
        </w:rPr>
        <w:t>, vinculada clarame</w:t>
      </w:r>
      <w:r w:rsidR="003B6473" w:rsidRPr="003B6473">
        <w:rPr>
          <w:rFonts w:ascii="Verdana" w:hAnsi="Verdana"/>
          <w:sz w:val="20"/>
          <w:szCs w:val="20"/>
          <w:lang w:val="es-CL"/>
        </w:rPr>
        <w:t>nte a un enfoque histórico</w:t>
      </w:r>
      <w:r w:rsidRPr="003B6473">
        <w:rPr>
          <w:rFonts w:ascii="Verdana" w:hAnsi="Verdana"/>
          <w:sz w:val="20"/>
          <w:szCs w:val="20"/>
          <w:lang w:val="es-CL"/>
        </w:rPr>
        <w:t xml:space="preserve"> tradicional, ha reducido el estudio de la </w:t>
      </w:r>
      <w:r w:rsidR="00760E77" w:rsidRPr="003B6473">
        <w:rPr>
          <w:rFonts w:ascii="Verdana" w:hAnsi="Verdana"/>
          <w:sz w:val="20"/>
          <w:szCs w:val="20"/>
          <w:lang w:val="es-CL"/>
        </w:rPr>
        <w:t xml:space="preserve">Antigua </w:t>
      </w:r>
      <w:r w:rsidRPr="003B6473">
        <w:rPr>
          <w:rFonts w:ascii="Verdana" w:hAnsi="Verdana"/>
          <w:sz w:val="20"/>
          <w:szCs w:val="20"/>
          <w:lang w:val="es-CL"/>
        </w:rPr>
        <w:t xml:space="preserve">Roma a un simple relato descriptivo de grandes hitos que </w:t>
      </w:r>
      <w:r w:rsidR="0051276D" w:rsidRPr="003B6473">
        <w:rPr>
          <w:rFonts w:ascii="Verdana" w:hAnsi="Verdana"/>
          <w:sz w:val="20"/>
          <w:szCs w:val="20"/>
          <w:lang w:val="es-CL"/>
        </w:rPr>
        <w:t>fueron</w:t>
      </w:r>
      <w:r w:rsidRPr="003B6473">
        <w:rPr>
          <w:rFonts w:ascii="Verdana" w:hAnsi="Verdana"/>
          <w:sz w:val="20"/>
          <w:szCs w:val="20"/>
          <w:lang w:val="es-CL"/>
        </w:rPr>
        <w:t xml:space="preserve"> protagonizados por </w:t>
      </w:r>
      <w:proofErr w:type="spellStart"/>
      <w:r w:rsidRPr="003B6473">
        <w:rPr>
          <w:rFonts w:ascii="Verdana" w:hAnsi="Verdana"/>
          <w:iCs/>
          <w:sz w:val="20"/>
          <w:szCs w:val="20"/>
          <w:lang w:val="es-CL"/>
        </w:rPr>
        <w:t>pater</w:t>
      </w:r>
      <w:proofErr w:type="spellEnd"/>
      <w:r w:rsidRPr="003B6473">
        <w:rPr>
          <w:rFonts w:ascii="Verdana" w:hAnsi="Verdana"/>
          <w:iCs/>
          <w:sz w:val="20"/>
          <w:szCs w:val="20"/>
          <w:lang w:val="es-CL"/>
        </w:rPr>
        <w:t xml:space="preserve"> familias, </w:t>
      </w:r>
      <w:r w:rsidRPr="003B6473">
        <w:rPr>
          <w:rFonts w:ascii="Verdana" w:hAnsi="Verdana"/>
          <w:sz w:val="20"/>
          <w:szCs w:val="20"/>
          <w:lang w:val="es-CL"/>
        </w:rPr>
        <w:t>gobernantes y destacados emperadores romanos. Siguiendo a Fontana (2011), dicha interpretación relega a los oprimidos y sus problemas al margen de los estudios de historia, como si fuesen una parte marginal de la sociedad.</w:t>
      </w:r>
    </w:p>
    <w:p w14:paraId="6648A2EE" w14:textId="3B7498C2" w:rsidR="00E06B5B" w:rsidRDefault="00E06B5B" w:rsidP="003D1236">
      <w:pPr>
        <w:pStyle w:val="Sinespaciado"/>
        <w:spacing w:line="360" w:lineRule="auto"/>
        <w:jc w:val="both"/>
        <w:rPr>
          <w:rFonts w:ascii="Verdana" w:hAnsi="Verdana"/>
          <w:b/>
          <w:sz w:val="20"/>
          <w:szCs w:val="20"/>
        </w:rPr>
      </w:pPr>
    </w:p>
    <w:p w14:paraId="5829C881" w14:textId="77777777" w:rsidR="00683BC5" w:rsidRDefault="00683BC5" w:rsidP="00AA6065">
      <w:pPr>
        <w:pStyle w:val="Sinespaciado"/>
        <w:spacing w:line="360" w:lineRule="auto"/>
        <w:jc w:val="both"/>
        <w:rPr>
          <w:rFonts w:ascii="Verdana" w:hAnsi="Verdana"/>
          <w:b/>
          <w:bCs/>
          <w:sz w:val="20"/>
          <w:szCs w:val="20"/>
          <w:lang w:val="es-CL"/>
        </w:rPr>
      </w:pPr>
    </w:p>
    <w:p w14:paraId="4A3D12DF" w14:textId="77777777" w:rsidR="00683BC5" w:rsidRDefault="00683BC5" w:rsidP="00AA6065">
      <w:pPr>
        <w:pStyle w:val="Sinespaciado"/>
        <w:spacing w:line="360" w:lineRule="auto"/>
        <w:jc w:val="both"/>
        <w:rPr>
          <w:rFonts w:ascii="Verdana" w:hAnsi="Verdana"/>
          <w:b/>
          <w:bCs/>
          <w:sz w:val="20"/>
          <w:szCs w:val="20"/>
          <w:lang w:val="es-CL"/>
        </w:rPr>
      </w:pPr>
    </w:p>
    <w:p w14:paraId="6A31018C" w14:textId="0AC53029" w:rsidR="00683BC5" w:rsidRDefault="00683BC5" w:rsidP="00AA6065">
      <w:pPr>
        <w:pStyle w:val="Sinespaciado"/>
        <w:spacing w:line="360" w:lineRule="auto"/>
        <w:jc w:val="both"/>
        <w:rPr>
          <w:rFonts w:ascii="Verdana" w:hAnsi="Verdana"/>
          <w:b/>
          <w:bCs/>
          <w:sz w:val="20"/>
          <w:szCs w:val="20"/>
          <w:lang w:val="es-CL"/>
        </w:rPr>
      </w:pPr>
    </w:p>
    <w:p w14:paraId="49D541ED" w14:textId="52FD6452" w:rsidR="00266634" w:rsidRDefault="00266634" w:rsidP="00AA6065">
      <w:pPr>
        <w:pStyle w:val="Sinespaciado"/>
        <w:spacing w:line="360" w:lineRule="auto"/>
        <w:jc w:val="both"/>
        <w:rPr>
          <w:rFonts w:ascii="Verdana" w:hAnsi="Verdana"/>
          <w:b/>
          <w:bCs/>
          <w:sz w:val="20"/>
          <w:szCs w:val="20"/>
          <w:lang w:val="es-CL"/>
        </w:rPr>
      </w:pPr>
    </w:p>
    <w:p w14:paraId="5DFE760E" w14:textId="77777777" w:rsidR="00266634" w:rsidRDefault="00266634" w:rsidP="00AA6065">
      <w:pPr>
        <w:pStyle w:val="Sinespaciado"/>
        <w:spacing w:line="360" w:lineRule="auto"/>
        <w:jc w:val="both"/>
        <w:rPr>
          <w:rFonts w:ascii="Verdana" w:hAnsi="Verdana"/>
          <w:b/>
          <w:bCs/>
          <w:sz w:val="20"/>
          <w:szCs w:val="20"/>
          <w:lang w:val="es-CL"/>
        </w:rPr>
      </w:pPr>
    </w:p>
    <w:p w14:paraId="3E8EB54B" w14:textId="3B690333" w:rsidR="00051392" w:rsidRDefault="002B21F6" w:rsidP="00AA6065">
      <w:pPr>
        <w:pStyle w:val="Sinespaciado"/>
        <w:spacing w:line="360" w:lineRule="auto"/>
        <w:jc w:val="both"/>
        <w:rPr>
          <w:rFonts w:ascii="Verdana" w:hAnsi="Verdana"/>
          <w:b/>
          <w:bCs/>
          <w:sz w:val="20"/>
          <w:szCs w:val="20"/>
          <w:lang w:val="es-CL"/>
        </w:rPr>
      </w:pPr>
      <w:r w:rsidRPr="00BF3F34">
        <w:rPr>
          <w:rFonts w:ascii="Verdana" w:hAnsi="Verdana"/>
          <w:b/>
          <w:bCs/>
          <w:sz w:val="20"/>
          <w:szCs w:val="20"/>
          <w:lang w:val="es-CL"/>
        </w:rPr>
        <w:lastRenderedPageBreak/>
        <w:t xml:space="preserve">Categoría: </w:t>
      </w:r>
      <w:r w:rsidRPr="00CF1FC9">
        <w:rPr>
          <w:rFonts w:ascii="Verdana" w:hAnsi="Verdana"/>
          <w:bCs/>
          <w:sz w:val="20"/>
          <w:szCs w:val="20"/>
          <w:lang w:val="es-CL"/>
        </w:rPr>
        <w:t>Androcentrismo;</w:t>
      </w:r>
      <w:r w:rsidRPr="00BF3F34">
        <w:rPr>
          <w:rFonts w:ascii="Verdana" w:hAnsi="Verdana"/>
          <w:b/>
          <w:bCs/>
          <w:sz w:val="20"/>
          <w:szCs w:val="20"/>
          <w:lang w:val="es-CL"/>
        </w:rPr>
        <w:t xml:space="preserve"> Subcategoría</w:t>
      </w:r>
      <w:r w:rsidR="00AE671F">
        <w:rPr>
          <w:rFonts w:ascii="Verdana" w:hAnsi="Verdana"/>
          <w:b/>
          <w:bCs/>
          <w:sz w:val="20"/>
          <w:szCs w:val="20"/>
          <w:lang w:val="es-CL"/>
        </w:rPr>
        <w:t xml:space="preserve"> 3</w:t>
      </w:r>
      <w:r w:rsidRPr="00BF3F34">
        <w:rPr>
          <w:rFonts w:ascii="Verdana" w:hAnsi="Verdana"/>
          <w:b/>
          <w:bCs/>
          <w:sz w:val="20"/>
          <w:szCs w:val="20"/>
          <w:lang w:val="es-CL"/>
        </w:rPr>
        <w:t xml:space="preserve">: </w:t>
      </w:r>
      <w:r w:rsidRPr="00CF1FC9">
        <w:rPr>
          <w:rFonts w:ascii="Verdana" w:hAnsi="Verdana"/>
          <w:bCs/>
          <w:sz w:val="20"/>
          <w:szCs w:val="20"/>
          <w:lang w:val="es-CL"/>
        </w:rPr>
        <w:t>Representación generalizada y anónima</w:t>
      </w:r>
    </w:p>
    <w:p w14:paraId="71230CF6" w14:textId="77777777" w:rsidR="00051392" w:rsidRDefault="00051392" w:rsidP="00AA6065">
      <w:pPr>
        <w:pStyle w:val="Sinespaciado"/>
        <w:spacing w:line="360" w:lineRule="auto"/>
        <w:jc w:val="both"/>
        <w:rPr>
          <w:rFonts w:ascii="Verdana" w:hAnsi="Verdana"/>
          <w:b/>
          <w:bCs/>
          <w:sz w:val="20"/>
          <w:szCs w:val="20"/>
          <w:lang w:val="es-CL"/>
        </w:rPr>
      </w:pPr>
    </w:p>
    <w:p w14:paraId="4C66A70B" w14:textId="4E962555" w:rsidR="00AA6065" w:rsidRDefault="00AA6065" w:rsidP="00AA6065">
      <w:pPr>
        <w:pStyle w:val="Sinespaciado"/>
        <w:spacing w:line="360" w:lineRule="auto"/>
        <w:jc w:val="both"/>
        <w:rPr>
          <w:rFonts w:ascii="Verdana" w:hAnsi="Verdana"/>
          <w:b/>
          <w:bCs/>
          <w:sz w:val="20"/>
          <w:szCs w:val="20"/>
          <w:lang w:val="es-CL"/>
        </w:rPr>
      </w:pPr>
      <w:r>
        <w:rPr>
          <w:rFonts w:ascii="Verdana" w:hAnsi="Verdana"/>
          <w:b/>
          <w:bCs/>
          <w:sz w:val="20"/>
          <w:szCs w:val="20"/>
          <w:lang w:val="es-CL"/>
        </w:rPr>
        <w:t>Evidencia N°</w:t>
      </w:r>
      <w:r w:rsidR="00051392">
        <w:rPr>
          <w:rFonts w:ascii="Verdana" w:hAnsi="Verdana"/>
          <w:b/>
          <w:bCs/>
          <w:sz w:val="20"/>
          <w:szCs w:val="20"/>
          <w:lang w:val="es-CL"/>
        </w:rPr>
        <w:t xml:space="preserve"> 4</w:t>
      </w:r>
    </w:p>
    <w:p w14:paraId="39E18051" w14:textId="77777777" w:rsidR="00AA6065" w:rsidRPr="00AA6065" w:rsidRDefault="00AA6065" w:rsidP="00AA6065">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Verdana" w:hAnsi="Verdana"/>
          <w:sz w:val="20"/>
          <w:szCs w:val="20"/>
          <w:lang w:val="es-CL"/>
        </w:rPr>
      </w:pPr>
      <w:r w:rsidRPr="00AA6065">
        <w:rPr>
          <w:rFonts w:ascii="Verdana" w:hAnsi="Verdana"/>
          <w:sz w:val="20"/>
          <w:szCs w:val="20"/>
          <w:lang w:val="es-CL"/>
        </w:rPr>
        <w:t xml:space="preserve">Las </w:t>
      </w:r>
      <w:r w:rsidRPr="00AA6065">
        <w:rPr>
          <w:rFonts w:ascii="Verdana" w:hAnsi="Verdana"/>
          <w:i/>
          <w:iCs/>
          <w:sz w:val="20"/>
          <w:szCs w:val="20"/>
          <w:u w:val="single"/>
          <w:lang w:val="es-CL"/>
        </w:rPr>
        <w:t>mujeres</w:t>
      </w:r>
      <w:r w:rsidRPr="00AA6065">
        <w:rPr>
          <w:rFonts w:ascii="Verdana" w:hAnsi="Verdana"/>
          <w:sz w:val="20"/>
          <w:szCs w:val="20"/>
          <w:lang w:val="es-CL"/>
        </w:rPr>
        <w:t xml:space="preserve"> griegas y romanas dependían de su padre o su marido. Su vida estaba principalmente centrada en el hogar, donde eran muy valoradas, pues se encargaban del cuidado y la educación de los hijos y las hijas. La mujer romana, con el paso del tiempo, adquirió mayores grados de libertad y tuvo una intensa vida social, puesto que participaba en banquetes y </w:t>
      </w:r>
      <w:r w:rsidRPr="00AA6065">
        <w:rPr>
          <w:rFonts w:ascii="Verdana" w:hAnsi="Verdana"/>
          <w:i/>
          <w:iCs/>
          <w:sz w:val="20"/>
          <w:szCs w:val="20"/>
          <w:u w:val="single"/>
          <w:lang w:val="es-CL"/>
        </w:rPr>
        <w:t>practicaba oficios tradicionalmente asociados a los hombres</w:t>
      </w:r>
      <w:r w:rsidRPr="00AA6065">
        <w:rPr>
          <w:rFonts w:ascii="Verdana" w:hAnsi="Verdana"/>
          <w:sz w:val="20"/>
          <w:szCs w:val="20"/>
          <w:lang w:val="es-CL"/>
        </w:rPr>
        <w:t xml:space="preserve"> (Historia, Geografía y Ciencias Sociales, Texto del Estudiante, 3º básico, Editorial SM, p. 135).</w:t>
      </w:r>
    </w:p>
    <w:p w14:paraId="7856E112" w14:textId="77777777" w:rsidR="00AA6065" w:rsidRDefault="00AA6065" w:rsidP="00AA6065">
      <w:pPr>
        <w:pStyle w:val="Sinespaciado"/>
        <w:spacing w:line="360" w:lineRule="auto"/>
        <w:jc w:val="both"/>
        <w:rPr>
          <w:rFonts w:ascii="Verdana" w:hAnsi="Verdana"/>
          <w:sz w:val="20"/>
          <w:szCs w:val="20"/>
          <w:lang w:val="es-CL"/>
        </w:rPr>
      </w:pPr>
    </w:p>
    <w:p w14:paraId="40B58FBB" w14:textId="2265D58E" w:rsidR="00794D93" w:rsidRPr="008E222F" w:rsidRDefault="007513FA" w:rsidP="003D1236">
      <w:pPr>
        <w:pStyle w:val="Sinespaciado"/>
        <w:spacing w:line="360" w:lineRule="auto"/>
        <w:jc w:val="both"/>
        <w:rPr>
          <w:rFonts w:ascii="Verdana" w:hAnsi="Verdana"/>
          <w:sz w:val="20"/>
          <w:szCs w:val="20"/>
        </w:rPr>
      </w:pPr>
      <w:r w:rsidRPr="008E222F">
        <w:rPr>
          <w:rFonts w:ascii="Verdana" w:hAnsi="Verdana"/>
          <w:sz w:val="20"/>
          <w:szCs w:val="20"/>
        </w:rPr>
        <w:t>En la primera parte del fragmento, s</w:t>
      </w:r>
      <w:r w:rsidR="009F6346" w:rsidRPr="008E222F">
        <w:rPr>
          <w:rFonts w:ascii="Verdana" w:hAnsi="Verdana"/>
          <w:sz w:val="20"/>
          <w:szCs w:val="20"/>
        </w:rPr>
        <w:t xml:space="preserve">e utiliza el plural </w:t>
      </w:r>
      <w:bookmarkStart w:id="7" w:name="_Hlk38813810"/>
      <w:r w:rsidR="00193BD5" w:rsidRPr="008E222F">
        <w:rPr>
          <w:rFonts w:ascii="Verdana" w:hAnsi="Verdana"/>
          <w:sz w:val="20"/>
          <w:szCs w:val="20"/>
        </w:rPr>
        <w:t>«las mujeres»</w:t>
      </w:r>
      <w:r w:rsidR="009F6346" w:rsidRPr="008E222F">
        <w:rPr>
          <w:rFonts w:ascii="Verdana" w:hAnsi="Verdana"/>
          <w:sz w:val="20"/>
          <w:szCs w:val="20"/>
        </w:rPr>
        <w:t xml:space="preserve"> </w:t>
      </w:r>
      <w:bookmarkEnd w:id="7"/>
      <w:r w:rsidR="009F6346" w:rsidRPr="008E222F">
        <w:rPr>
          <w:rFonts w:ascii="Verdana" w:hAnsi="Verdana"/>
          <w:sz w:val="20"/>
          <w:szCs w:val="20"/>
        </w:rPr>
        <w:t>para representar a</w:t>
      </w:r>
      <w:r w:rsidR="00FA0035" w:rsidRPr="008E222F">
        <w:rPr>
          <w:rFonts w:ascii="Verdana" w:hAnsi="Verdana"/>
          <w:sz w:val="20"/>
          <w:szCs w:val="20"/>
        </w:rPr>
        <w:t xml:space="preserve"> dicho colectivo</w:t>
      </w:r>
      <w:r w:rsidR="009F6346" w:rsidRPr="008E222F">
        <w:rPr>
          <w:rFonts w:ascii="Verdana" w:hAnsi="Verdana"/>
          <w:sz w:val="20"/>
          <w:szCs w:val="20"/>
        </w:rPr>
        <w:t xml:space="preserve"> en forma generalizada</w:t>
      </w:r>
      <w:r w:rsidR="00276855" w:rsidRPr="008E222F">
        <w:rPr>
          <w:rFonts w:ascii="Verdana" w:hAnsi="Verdana"/>
          <w:sz w:val="20"/>
          <w:szCs w:val="20"/>
        </w:rPr>
        <w:t>,</w:t>
      </w:r>
      <w:r w:rsidR="009F6346" w:rsidRPr="008E222F">
        <w:rPr>
          <w:rFonts w:ascii="Verdana" w:hAnsi="Verdana"/>
          <w:sz w:val="20"/>
          <w:szCs w:val="20"/>
        </w:rPr>
        <w:t xml:space="preserve"> anónima</w:t>
      </w:r>
      <w:r w:rsidR="00276855" w:rsidRPr="008E222F">
        <w:rPr>
          <w:rFonts w:ascii="Verdana" w:hAnsi="Verdana"/>
          <w:sz w:val="20"/>
          <w:szCs w:val="20"/>
        </w:rPr>
        <w:t xml:space="preserve"> y condicionada por el discurso de la domesticidad</w:t>
      </w:r>
      <w:r w:rsidR="009F6346" w:rsidRPr="008E222F">
        <w:rPr>
          <w:rFonts w:ascii="Verdana" w:hAnsi="Verdana"/>
          <w:sz w:val="20"/>
          <w:szCs w:val="20"/>
        </w:rPr>
        <w:t xml:space="preserve">, </w:t>
      </w:r>
      <w:r w:rsidR="00954555" w:rsidRPr="008E222F">
        <w:rPr>
          <w:rFonts w:ascii="Verdana" w:hAnsi="Verdana"/>
          <w:sz w:val="20"/>
          <w:szCs w:val="20"/>
        </w:rPr>
        <w:t>ya que</w:t>
      </w:r>
      <w:r w:rsidR="00A33A46" w:rsidRPr="008E222F">
        <w:rPr>
          <w:rFonts w:ascii="Verdana" w:hAnsi="Verdana"/>
          <w:sz w:val="20"/>
          <w:szCs w:val="20"/>
        </w:rPr>
        <w:t>, como sostiene Pérez (2019)</w:t>
      </w:r>
      <w:r w:rsidR="00B203BA" w:rsidRPr="008E222F">
        <w:rPr>
          <w:rFonts w:ascii="Verdana" w:hAnsi="Verdana"/>
          <w:sz w:val="20"/>
          <w:szCs w:val="20"/>
        </w:rPr>
        <w:t xml:space="preserve">, </w:t>
      </w:r>
      <w:r w:rsidR="00954555" w:rsidRPr="008E222F">
        <w:rPr>
          <w:rFonts w:ascii="Verdana" w:hAnsi="Verdana"/>
          <w:sz w:val="20"/>
          <w:szCs w:val="20"/>
        </w:rPr>
        <w:t>restringe la actuación femenina a las labores del hogar</w:t>
      </w:r>
      <w:r w:rsidR="009F6346" w:rsidRPr="008E222F">
        <w:rPr>
          <w:rFonts w:ascii="Verdana" w:hAnsi="Verdana"/>
          <w:sz w:val="20"/>
          <w:szCs w:val="20"/>
        </w:rPr>
        <w:t>. En la segunda parte</w:t>
      </w:r>
      <w:r w:rsidR="00913AD9" w:rsidRPr="008E222F">
        <w:rPr>
          <w:rFonts w:ascii="Verdana" w:hAnsi="Verdana"/>
          <w:sz w:val="20"/>
          <w:szCs w:val="20"/>
        </w:rPr>
        <w:t xml:space="preserve">, </w:t>
      </w:r>
      <w:r w:rsidR="00FA0035" w:rsidRPr="008E222F">
        <w:rPr>
          <w:rFonts w:ascii="Verdana" w:hAnsi="Verdana"/>
          <w:sz w:val="20"/>
          <w:szCs w:val="20"/>
        </w:rPr>
        <w:t>que</w:t>
      </w:r>
      <w:r w:rsidR="00913AD9" w:rsidRPr="008E222F">
        <w:rPr>
          <w:rFonts w:ascii="Verdana" w:hAnsi="Verdana"/>
          <w:sz w:val="20"/>
          <w:szCs w:val="20"/>
        </w:rPr>
        <w:t xml:space="preserve"> pone </w:t>
      </w:r>
      <w:r w:rsidR="00FA0035" w:rsidRPr="008E222F">
        <w:rPr>
          <w:rFonts w:ascii="Verdana" w:hAnsi="Verdana"/>
          <w:sz w:val="20"/>
          <w:szCs w:val="20"/>
        </w:rPr>
        <w:t xml:space="preserve">un especial </w:t>
      </w:r>
      <w:r w:rsidR="00913AD9" w:rsidRPr="008E222F">
        <w:rPr>
          <w:rFonts w:ascii="Verdana" w:hAnsi="Verdana"/>
          <w:sz w:val="20"/>
          <w:szCs w:val="20"/>
        </w:rPr>
        <w:t>énfasis</w:t>
      </w:r>
      <w:r w:rsidR="009F6346" w:rsidRPr="008E222F">
        <w:rPr>
          <w:rFonts w:ascii="Verdana" w:hAnsi="Verdana"/>
          <w:sz w:val="20"/>
          <w:szCs w:val="20"/>
        </w:rPr>
        <w:t xml:space="preserve"> </w:t>
      </w:r>
      <w:r w:rsidR="001E0EB0" w:rsidRPr="008E222F">
        <w:rPr>
          <w:rFonts w:ascii="Verdana" w:hAnsi="Verdana"/>
          <w:sz w:val="20"/>
          <w:szCs w:val="20"/>
        </w:rPr>
        <w:t>en</w:t>
      </w:r>
      <w:r w:rsidR="009F6346" w:rsidRPr="008E222F">
        <w:rPr>
          <w:rFonts w:ascii="Verdana" w:hAnsi="Verdana"/>
          <w:sz w:val="20"/>
          <w:szCs w:val="20"/>
        </w:rPr>
        <w:t xml:space="preserve"> la mujer romana, s</w:t>
      </w:r>
      <w:r w:rsidR="00AF1297" w:rsidRPr="008E222F">
        <w:rPr>
          <w:rFonts w:ascii="Verdana" w:hAnsi="Verdana"/>
          <w:sz w:val="20"/>
          <w:szCs w:val="20"/>
        </w:rPr>
        <w:t>e presenta una narrativa</w:t>
      </w:r>
      <w:r w:rsidR="005C5385" w:rsidRPr="008E222F">
        <w:rPr>
          <w:rFonts w:ascii="Verdana" w:hAnsi="Verdana"/>
          <w:sz w:val="20"/>
          <w:szCs w:val="20"/>
        </w:rPr>
        <w:t xml:space="preserve"> sexista </w:t>
      </w:r>
      <w:r w:rsidR="00954555" w:rsidRPr="008E222F">
        <w:rPr>
          <w:rFonts w:ascii="Verdana" w:hAnsi="Verdana"/>
          <w:sz w:val="20"/>
          <w:szCs w:val="20"/>
        </w:rPr>
        <w:t>porque</w:t>
      </w:r>
      <w:r w:rsidR="005C5385" w:rsidRPr="008E222F">
        <w:rPr>
          <w:rFonts w:ascii="Verdana" w:hAnsi="Verdana"/>
          <w:sz w:val="20"/>
          <w:szCs w:val="20"/>
        </w:rPr>
        <w:t xml:space="preserve"> señala</w:t>
      </w:r>
      <w:r w:rsidR="009F6346" w:rsidRPr="008E222F">
        <w:rPr>
          <w:rFonts w:ascii="Verdana" w:hAnsi="Verdana"/>
          <w:sz w:val="20"/>
          <w:szCs w:val="20"/>
        </w:rPr>
        <w:t xml:space="preserve"> que </w:t>
      </w:r>
      <w:r w:rsidR="006F134A" w:rsidRPr="008E222F">
        <w:rPr>
          <w:rFonts w:ascii="Verdana" w:hAnsi="Verdana"/>
          <w:sz w:val="20"/>
          <w:szCs w:val="20"/>
        </w:rPr>
        <w:t>su</w:t>
      </w:r>
      <w:r w:rsidR="009F6346" w:rsidRPr="008E222F">
        <w:rPr>
          <w:rFonts w:ascii="Verdana" w:hAnsi="Verdana"/>
          <w:sz w:val="20"/>
          <w:szCs w:val="20"/>
        </w:rPr>
        <w:t xml:space="preserve"> participación</w:t>
      </w:r>
      <w:r w:rsidR="00FA0035" w:rsidRPr="008E222F">
        <w:rPr>
          <w:rFonts w:ascii="Verdana" w:hAnsi="Verdana"/>
          <w:sz w:val="20"/>
          <w:szCs w:val="20"/>
        </w:rPr>
        <w:t xml:space="preserve"> </w:t>
      </w:r>
      <w:r w:rsidR="009D6893" w:rsidRPr="008E222F">
        <w:rPr>
          <w:rFonts w:ascii="Verdana" w:hAnsi="Verdana"/>
          <w:sz w:val="20"/>
          <w:szCs w:val="20"/>
        </w:rPr>
        <w:t>fue ampliándose desd</w:t>
      </w:r>
      <w:r w:rsidR="001E0EB0" w:rsidRPr="008E222F">
        <w:rPr>
          <w:rFonts w:ascii="Verdana" w:hAnsi="Verdana"/>
          <w:sz w:val="20"/>
          <w:szCs w:val="20"/>
        </w:rPr>
        <w:t>e</w:t>
      </w:r>
      <w:r w:rsidR="009D6893" w:rsidRPr="008E222F">
        <w:rPr>
          <w:rFonts w:ascii="Verdana" w:hAnsi="Verdana"/>
          <w:sz w:val="20"/>
          <w:szCs w:val="20"/>
        </w:rPr>
        <w:t xml:space="preserve"> </w:t>
      </w:r>
      <w:r w:rsidR="006F134A" w:rsidRPr="008E222F">
        <w:rPr>
          <w:rFonts w:ascii="Verdana" w:hAnsi="Verdana"/>
          <w:sz w:val="20"/>
          <w:szCs w:val="20"/>
        </w:rPr>
        <w:t>que</w:t>
      </w:r>
      <w:r w:rsidR="0024525C" w:rsidRPr="008E222F">
        <w:rPr>
          <w:rFonts w:ascii="Verdana" w:hAnsi="Verdana"/>
          <w:sz w:val="20"/>
          <w:szCs w:val="20"/>
        </w:rPr>
        <w:t xml:space="preserve"> comenzó a </w:t>
      </w:r>
      <w:r w:rsidR="009D6893" w:rsidRPr="008E222F">
        <w:rPr>
          <w:rFonts w:ascii="Verdana" w:hAnsi="Verdana"/>
          <w:sz w:val="20"/>
          <w:szCs w:val="20"/>
        </w:rPr>
        <w:t xml:space="preserve">participar en banquetes y a </w:t>
      </w:r>
      <w:r w:rsidR="0024525C" w:rsidRPr="008E222F">
        <w:rPr>
          <w:rFonts w:ascii="Verdana" w:hAnsi="Verdana"/>
          <w:sz w:val="20"/>
          <w:szCs w:val="20"/>
        </w:rPr>
        <w:t xml:space="preserve">desarrollar trabajos </w:t>
      </w:r>
      <w:r w:rsidR="00342DEF" w:rsidRPr="008E222F">
        <w:rPr>
          <w:rFonts w:ascii="Verdana" w:hAnsi="Verdana"/>
          <w:sz w:val="20"/>
          <w:szCs w:val="20"/>
        </w:rPr>
        <w:t>«reservados»</w:t>
      </w:r>
      <w:r w:rsidR="0024525C" w:rsidRPr="008E222F">
        <w:rPr>
          <w:rFonts w:ascii="Verdana" w:hAnsi="Verdana"/>
          <w:sz w:val="20"/>
          <w:szCs w:val="20"/>
        </w:rPr>
        <w:t xml:space="preserve"> para </w:t>
      </w:r>
      <w:r w:rsidR="00C14199">
        <w:rPr>
          <w:rFonts w:ascii="Verdana" w:hAnsi="Verdana"/>
          <w:sz w:val="20"/>
          <w:szCs w:val="20"/>
        </w:rPr>
        <w:t xml:space="preserve">los </w:t>
      </w:r>
      <w:r w:rsidR="0024525C" w:rsidRPr="008E222F">
        <w:rPr>
          <w:rFonts w:ascii="Verdana" w:hAnsi="Verdana"/>
          <w:sz w:val="20"/>
          <w:szCs w:val="20"/>
        </w:rPr>
        <w:t>hombres.</w:t>
      </w:r>
      <w:r w:rsidR="00E3020D" w:rsidRPr="008E222F">
        <w:rPr>
          <w:rFonts w:ascii="Verdana" w:hAnsi="Verdana"/>
          <w:sz w:val="20"/>
          <w:szCs w:val="20"/>
        </w:rPr>
        <w:t xml:space="preserve"> </w:t>
      </w:r>
      <w:r w:rsidR="00423089" w:rsidRPr="008E222F">
        <w:rPr>
          <w:rFonts w:ascii="Verdana" w:hAnsi="Verdana"/>
          <w:sz w:val="20"/>
          <w:szCs w:val="20"/>
        </w:rPr>
        <w:t>Esto último, además de favor</w:t>
      </w:r>
      <w:r w:rsidR="0068163D">
        <w:rPr>
          <w:rFonts w:ascii="Verdana" w:hAnsi="Verdana"/>
          <w:sz w:val="20"/>
          <w:szCs w:val="20"/>
        </w:rPr>
        <w:t>ecer la discriminación de la mujer</w:t>
      </w:r>
      <w:r w:rsidR="005560C0" w:rsidRPr="008E222F">
        <w:rPr>
          <w:rFonts w:ascii="Verdana" w:hAnsi="Verdana"/>
          <w:sz w:val="20"/>
          <w:szCs w:val="20"/>
        </w:rPr>
        <w:t xml:space="preserve"> en la </w:t>
      </w:r>
      <w:r w:rsidR="00027DC5" w:rsidRPr="008E222F">
        <w:rPr>
          <w:rFonts w:ascii="Verdana" w:hAnsi="Verdana"/>
          <w:sz w:val="20"/>
          <w:szCs w:val="20"/>
        </w:rPr>
        <w:t>enseñanza de la historia</w:t>
      </w:r>
      <w:r w:rsidR="00FC30F8" w:rsidRPr="008E222F">
        <w:rPr>
          <w:rFonts w:ascii="Verdana" w:hAnsi="Verdana"/>
          <w:sz w:val="20"/>
          <w:szCs w:val="20"/>
        </w:rPr>
        <w:t>, puede generar</w:t>
      </w:r>
      <w:r w:rsidR="00E33B9D" w:rsidRPr="008E222F">
        <w:rPr>
          <w:rFonts w:ascii="Verdana" w:hAnsi="Verdana"/>
          <w:sz w:val="20"/>
          <w:szCs w:val="20"/>
        </w:rPr>
        <w:t xml:space="preserve"> en el alumnado</w:t>
      </w:r>
      <w:r w:rsidR="00FC30F8" w:rsidRPr="008E222F">
        <w:rPr>
          <w:rFonts w:ascii="Verdana" w:hAnsi="Verdana"/>
          <w:sz w:val="20"/>
          <w:szCs w:val="20"/>
        </w:rPr>
        <w:t xml:space="preserve"> </w:t>
      </w:r>
      <w:r w:rsidR="00E33B9D" w:rsidRPr="008E222F">
        <w:rPr>
          <w:rFonts w:ascii="Verdana" w:hAnsi="Verdana"/>
          <w:sz w:val="20"/>
          <w:szCs w:val="20"/>
        </w:rPr>
        <w:t xml:space="preserve">el fomento de </w:t>
      </w:r>
      <w:r w:rsidR="00FC30F8" w:rsidRPr="008E222F">
        <w:rPr>
          <w:rFonts w:ascii="Verdana" w:hAnsi="Verdana"/>
          <w:sz w:val="20"/>
          <w:szCs w:val="20"/>
        </w:rPr>
        <w:t xml:space="preserve">conductas y </w:t>
      </w:r>
      <w:r w:rsidR="00E3020D" w:rsidRPr="008E222F">
        <w:rPr>
          <w:rFonts w:ascii="Verdana" w:hAnsi="Verdana"/>
          <w:sz w:val="20"/>
          <w:szCs w:val="20"/>
        </w:rPr>
        <w:t xml:space="preserve">estereotipos de roles sociales </w:t>
      </w:r>
      <w:r w:rsidR="00BF584E" w:rsidRPr="008E222F">
        <w:rPr>
          <w:rFonts w:ascii="Verdana" w:hAnsi="Verdana"/>
          <w:sz w:val="20"/>
          <w:szCs w:val="20"/>
        </w:rPr>
        <w:t>asociados a diferencias de género</w:t>
      </w:r>
      <w:r w:rsidR="00E3020D" w:rsidRPr="008E222F">
        <w:rPr>
          <w:rFonts w:ascii="Verdana" w:hAnsi="Verdana"/>
          <w:sz w:val="20"/>
          <w:szCs w:val="20"/>
        </w:rPr>
        <w:t xml:space="preserve">. </w:t>
      </w:r>
      <w:r w:rsidR="00FC30F8" w:rsidRPr="008E222F">
        <w:rPr>
          <w:rFonts w:ascii="Verdana" w:hAnsi="Verdana"/>
          <w:sz w:val="20"/>
          <w:szCs w:val="20"/>
        </w:rPr>
        <w:t>Esta situación</w:t>
      </w:r>
      <w:r w:rsidR="00E3020D" w:rsidRPr="008E222F">
        <w:rPr>
          <w:rFonts w:ascii="Verdana" w:hAnsi="Verdana"/>
          <w:sz w:val="20"/>
          <w:szCs w:val="20"/>
        </w:rPr>
        <w:t xml:space="preserve"> que </w:t>
      </w:r>
      <w:r w:rsidR="00FC30F8" w:rsidRPr="008E222F">
        <w:rPr>
          <w:rFonts w:ascii="Verdana" w:hAnsi="Verdana"/>
          <w:sz w:val="20"/>
          <w:szCs w:val="20"/>
        </w:rPr>
        <w:t xml:space="preserve">afecta a las mujeres </w:t>
      </w:r>
      <w:r w:rsidR="00E3020D" w:rsidRPr="008E222F">
        <w:rPr>
          <w:rFonts w:ascii="Verdana" w:hAnsi="Verdana"/>
          <w:sz w:val="20"/>
          <w:szCs w:val="20"/>
        </w:rPr>
        <w:t>no es homologable a una opresión de clase o casta</w:t>
      </w:r>
      <w:r w:rsidR="00E33B9D" w:rsidRPr="008E222F">
        <w:rPr>
          <w:rFonts w:ascii="Verdana" w:hAnsi="Verdana"/>
          <w:sz w:val="20"/>
          <w:szCs w:val="20"/>
        </w:rPr>
        <w:t>,</w:t>
      </w:r>
      <w:r w:rsidR="00E3020D" w:rsidRPr="008E222F">
        <w:rPr>
          <w:rFonts w:ascii="Verdana" w:hAnsi="Verdana"/>
          <w:sz w:val="20"/>
          <w:szCs w:val="20"/>
        </w:rPr>
        <w:t xml:space="preserve"> </w:t>
      </w:r>
      <w:r w:rsidR="004B6C36" w:rsidRPr="008E222F">
        <w:rPr>
          <w:rFonts w:ascii="Verdana" w:hAnsi="Verdana"/>
          <w:sz w:val="20"/>
          <w:szCs w:val="20"/>
        </w:rPr>
        <w:t>puesto</w:t>
      </w:r>
      <w:r w:rsidR="00E3020D" w:rsidRPr="008E222F">
        <w:rPr>
          <w:rFonts w:ascii="Verdana" w:hAnsi="Verdana"/>
          <w:sz w:val="20"/>
          <w:szCs w:val="20"/>
        </w:rPr>
        <w:t xml:space="preserve"> que se encuentra presente </w:t>
      </w:r>
      <w:r w:rsidR="00FC30F8" w:rsidRPr="008E222F">
        <w:rPr>
          <w:rFonts w:ascii="Verdana" w:hAnsi="Verdana"/>
          <w:sz w:val="20"/>
          <w:szCs w:val="20"/>
        </w:rPr>
        <w:t>de forma transversal en toda la sociedad.</w:t>
      </w:r>
    </w:p>
    <w:p w14:paraId="4D08AA75" w14:textId="794BE5AA" w:rsidR="00295116" w:rsidRDefault="00295116" w:rsidP="003D1236">
      <w:pPr>
        <w:pStyle w:val="Sinespaciado"/>
        <w:spacing w:line="360" w:lineRule="auto"/>
        <w:jc w:val="both"/>
        <w:rPr>
          <w:rFonts w:ascii="Verdana" w:hAnsi="Verdana"/>
          <w:sz w:val="20"/>
          <w:szCs w:val="20"/>
        </w:rPr>
      </w:pPr>
    </w:p>
    <w:p w14:paraId="0AC7AA71" w14:textId="11FDCDD0" w:rsidR="00051392" w:rsidRDefault="00051392" w:rsidP="00051392">
      <w:pPr>
        <w:pStyle w:val="Sinespaciado"/>
        <w:spacing w:line="360" w:lineRule="auto"/>
        <w:jc w:val="both"/>
        <w:rPr>
          <w:rFonts w:ascii="Verdana" w:hAnsi="Verdana"/>
          <w:b/>
          <w:bCs/>
          <w:sz w:val="20"/>
          <w:szCs w:val="20"/>
          <w:lang w:val="es-CL"/>
        </w:rPr>
      </w:pPr>
      <w:r>
        <w:rPr>
          <w:rFonts w:ascii="Verdana" w:hAnsi="Verdana"/>
          <w:b/>
          <w:bCs/>
          <w:sz w:val="20"/>
          <w:szCs w:val="20"/>
          <w:lang w:val="es-CL"/>
        </w:rPr>
        <w:t>Evidencia N° 5</w:t>
      </w:r>
    </w:p>
    <w:p w14:paraId="4B9DE713" w14:textId="77777777" w:rsidR="00051392" w:rsidRPr="00051392" w:rsidRDefault="00051392" w:rsidP="00051392">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Verdana" w:hAnsi="Verdana"/>
          <w:sz w:val="20"/>
          <w:szCs w:val="20"/>
          <w:lang w:val="es-CL"/>
        </w:rPr>
      </w:pPr>
      <w:r w:rsidRPr="00051392">
        <w:rPr>
          <w:rFonts w:ascii="Verdana" w:hAnsi="Verdana"/>
          <w:sz w:val="20"/>
          <w:szCs w:val="20"/>
          <w:lang w:val="es-CL"/>
        </w:rPr>
        <w:t xml:space="preserve">Las </w:t>
      </w:r>
      <w:r w:rsidRPr="00051392">
        <w:rPr>
          <w:rFonts w:ascii="Verdana" w:hAnsi="Verdana"/>
          <w:i/>
          <w:iCs/>
          <w:sz w:val="20"/>
          <w:szCs w:val="20"/>
          <w:u w:val="single"/>
          <w:lang w:val="es-CL"/>
        </w:rPr>
        <w:t>mujeres</w:t>
      </w:r>
      <w:r w:rsidRPr="00051392">
        <w:rPr>
          <w:rFonts w:ascii="Verdana" w:hAnsi="Verdana"/>
          <w:sz w:val="20"/>
          <w:szCs w:val="20"/>
          <w:lang w:val="es-CL"/>
        </w:rPr>
        <w:t xml:space="preserve"> espartanas tenían un papel muy activo en la sociedad, pues formaban parte de los ejercicios gimnásticos y estaban integradas en la organización militar, pero no tenían derechos políticos (Historia, Geografía y Ciencias Sociales, Texto del Estudiante, 7º básico, Editorial SM, p. 83).</w:t>
      </w:r>
    </w:p>
    <w:p w14:paraId="1308E042" w14:textId="77777777" w:rsidR="00051392" w:rsidRDefault="00051392" w:rsidP="00051392">
      <w:pPr>
        <w:pStyle w:val="Sinespaciado"/>
        <w:spacing w:line="360" w:lineRule="auto"/>
        <w:jc w:val="both"/>
        <w:rPr>
          <w:rFonts w:ascii="Verdana" w:hAnsi="Verdana"/>
          <w:sz w:val="20"/>
          <w:szCs w:val="20"/>
          <w:lang w:val="es-CL"/>
        </w:rPr>
      </w:pPr>
    </w:p>
    <w:p w14:paraId="7B796F79" w14:textId="5D4F10D8" w:rsidR="002B21F6" w:rsidRPr="008E222F" w:rsidRDefault="008E222F" w:rsidP="003D1236">
      <w:pPr>
        <w:pStyle w:val="Sinespaciado"/>
        <w:spacing w:line="360" w:lineRule="auto"/>
        <w:jc w:val="both"/>
        <w:rPr>
          <w:rFonts w:ascii="Verdana" w:hAnsi="Verdana"/>
          <w:sz w:val="20"/>
          <w:szCs w:val="20"/>
          <w:lang w:val="es-CL"/>
        </w:rPr>
      </w:pPr>
      <w:r w:rsidRPr="008E222F">
        <w:rPr>
          <w:rFonts w:ascii="Verdana" w:hAnsi="Verdana"/>
          <w:sz w:val="20"/>
          <w:szCs w:val="20"/>
          <w:lang w:val="es-CL"/>
        </w:rPr>
        <w:t>Se emplea</w:t>
      </w:r>
      <w:r w:rsidR="002B21F6" w:rsidRPr="008E222F">
        <w:rPr>
          <w:rFonts w:ascii="Verdana" w:hAnsi="Verdana"/>
          <w:sz w:val="20"/>
          <w:szCs w:val="20"/>
          <w:lang w:val="es-CL"/>
        </w:rPr>
        <w:t xml:space="preserve"> el plural </w:t>
      </w:r>
      <w:bookmarkStart w:id="8" w:name="_Hlk38814365"/>
      <w:r w:rsidR="00955BAE" w:rsidRPr="008E222F">
        <w:rPr>
          <w:rFonts w:ascii="Verdana" w:hAnsi="Verdana"/>
          <w:sz w:val="20"/>
          <w:szCs w:val="20"/>
          <w:lang w:val="es-CL"/>
        </w:rPr>
        <w:t>«las mujeres»</w:t>
      </w:r>
      <w:bookmarkEnd w:id="8"/>
      <w:r w:rsidR="00955BAE" w:rsidRPr="008E222F">
        <w:rPr>
          <w:rFonts w:ascii="Verdana" w:hAnsi="Verdana"/>
          <w:sz w:val="20"/>
          <w:szCs w:val="20"/>
          <w:lang w:val="es-CL"/>
        </w:rPr>
        <w:t xml:space="preserve"> </w:t>
      </w:r>
      <w:r w:rsidR="002B21F6" w:rsidRPr="008E222F">
        <w:rPr>
          <w:rFonts w:ascii="Verdana" w:hAnsi="Verdana"/>
          <w:sz w:val="20"/>
          <w:szCs w:val="20"/>
          <w:lang w:val="es-CL"/>
        </w:rPr>
        <w:t xml:space="preserve">para suprimir identidades y liderazgos de importantes espartanas como </w:t>
      </w:r>
      <w:proofErr w:type="spellStart"/>
      <w:r w:rsidR="002B21F6" w:rsidRPr="008E222F">
        <w:rPr>
          <w:rFonts w:ascii="Verdana" w:hAnsi="Verdana"/>
          <w:sz w:val="20"/>
          <w:szCs w:val="20"/>
          <w:lang w:val="es-CL"/>
        </w:rPr>
        <w:t>Gorgo</w:t>
      </w:r>
      <w:proofErr w:type="spellEnd"/>
      <w:r w:rsidR="00790E00">
        <w:rPr>
          <w:rFonts w:ascii="Verdana" w:hAnsi="Verdana"/>
          <w:sz w:val="20"/>
          <w:szCs w:val="20"/>
          <w:lang w:val="es-CL"/>
        </w:rPr>
        <w:t xml:space="preserve"> (reina de Esparta en el siglo V a. C.)</w:t>
      </w:r>
      <w:r w:rsidR="002B21F6" w:rsidRPr="008E222F">
        <w:rPr>
          <w:rFonts w:ascii="Verdana" w:hAnsi="Verdana"/>
          <w:sz w:val="20"/>
          <w:szCs w:val="20"/>
          <w:lang w:val="es-CL"/>
        </w:rPr>
        <w:t xml:space="preserve"> y</w:t>
      </w:r>
      <w:r w:rsidR="00790E00">
        <w:rPr>
          <w:rFonts w:ascii="Verdana" w:hAnsi="Verdana"/>
          <w:sz w:val="20"/>
          <w:szCs w:val="20"/>
        </w:rPr>
        <w:t xml:space="preserve"> </w:t>
      </w:r>
      <w:proofErr w:type="spellStart"/>
      <w:r w:rsidR="00790E00">
        <w:rPr>
          <w:rFonts w:ascii="Verdana" w:hAnsi="Verdana"/>
          <w:sz w:val="20"/>
          <w:szCs w:val="20"/>
        </w:rPr>
        <w:t>Cinisca</w:t>
      </w:r>
      <w:proofErr w:type="spellEnd"/>
      <w:r w:rsidR="00790E00">
        <w:rPr>
          <w:rFonts w:ascii="Verdana" w:hAnsi="Verdana"/>
          <w:sz w:val="20"/>
          <w:szCs w:val="20"/>
        </w:rPr>
        <w:t xml:space="preserve"> (</w:t>
      </w:r>
      <w:r w:rsidR="002B21F6" w:rsidRPr="008E222F">
        <w:rPr>
          <w:rFonts w:ascii="Verdana" w:hAnsi="Verdana"/>
          <w:sz w:val="20"/>
          <w:szCs w:val="20"/>
        </w:rPr>
        <w:t>primera mujer en ganar los Juegos Olímpicos en la antigüedad</w:t>
      </w:r>
      <w:r w:rsidR="00790E00">
        <w:rPr>
          <w:rFonts w:ascii="Verdana" w:hAnsi="Verdana"/>
          <w:sz w:val="20"/>
          <w:szCs w:val="20"/>
        </w:rPr>
        <w:t>)</w:t>
      </w:r>
      <w:r w:rsidR="002B21F6" w:rsidRPr="008E222F">
        <w:rPr>
          <w:rFonts w:ascii="Verdana" w:hAnsi="Verdana"/>
          <w:sz w:val="20"/>
          <w:szCs w:val="20"/>
          <w:lang w:val="es-CL"/>
        </w:rPr>
        <w:t xml:space="preserve">. </w:t>
      </w:r>
      <w:r w:rsidR="00955BAE" w:rsidRPr="008E222F">
        <w:rPr>
          <w:rFonts w:ascii="Verdana" w:hAnsi="Verdana"/>
          <w:sz w:val="20"/>
          <w:szCs w:val="20"/>
          <w:lang w:val="es-CL"/>
        </w:rPr>
        <w:t>Adicionalmente</w:t>
      </w:r>
      <w:r w:rsidR="00E04419" w:rsidRPr="008E222F">
        <w:rPr>
          <w:rFonts w:ascii="Verdana" w:hAnsi="Verdana"/>
          <w:sz w:val="20"/>
          <w:szCs w:val="20"/>
          <w:lang w:val="es-CL"/>
        </w:rPr>
        <w:t xml:space="preserve">, cabe destacar que el párrafo </w:t>
      </w:r>
      <w:r w:rsidR="002B21F6" w:rsidRPr="008E222F">
        <w:rPr>
          <w:rFonts w:ascii="Verdana" w:hAnsi="Verdana"/>
          <w:sz w:val="20"/>
          <w:szCs w:val="20"/>
          <w:lang w:val="es-CL"/>
        </w:rPr>
        <w:t xml:space="preserve">solo </w:t>
      </w:r>
      <w:r w:rsidR="00E04419" w:rsidRPr="008E222F">
        <w:rPr>
          <w:rFonts w:ascii="Verdana" w:hAnsi="Verdana"/>
          <w:sz w:val="20"/>
          <w:szCs w:val="20"/>
          <w:lang w:val="es-CL"/>
        </w:rPr>
        <w:t>busca reconocer</w:t>
      </w:r>
      <w:r w:rsidR="002B21F6" w:rsidRPr="008E222F">
        <w:rPr>
          <w:rFonts w:ascii="Verdana" w:hAnsi="Verdana"/>
          <w:sz w:val="20"/>
          <w:szCs w:val="20"/>
          <w:lang w:val="es-CL"/>
        </w:rPr>
        <w:t xml:space="preserve"> las virtudes cívicas de las mujeres espartanas</w:t>
      </w:r>
      <w:r w:rsidR="007227CB" w:rsidRPr="008E222F">
        <w:rPr>
          <w:rFonts w:ascii="Verdana" w:hAnsi="Verdana"/>
          <w:sz w:val="20"/>
          <w:szCs w:val="20"/>
          <w:lang w:val="es-CL"/>
        </w:rPr>
        <w:t>; sin embargo,</w:t>
      </w:r>
      <w:r w:rsidR="002B21F6" w:rsidRPr="008E222F">
        <w:rPr>
          <w:rFonts w:ascii="Verdana" w:hAnsi="Verdana"/>
          <w:sz w:val="20"/>
          <w:szCs w:val="20"/>
          <w:lang w:val="es-CL"/>
        </w:rPr>
        <w:t xml:space="preserve"> ignora la importancia que tuvieron en la preservación de la sociedad patriarcal de Esparta, ya que, siguiendo a </w:t>
      </w:r>
      <w:proofErr w:type="spellStart"/>
      <w:r w:rsidR="002B21F6" w:rsidRPr="008E222F">
        <w:rPr>
          <w:rFonts w:ascii="Verdana" w:hAnsi="Verdana"/>
          <w:sz w:val="20"/>
          <w:szCs w:val="20"/>
          <w:lang w:val="es-CL"/>
        </w:rPr>
        <w:t>Myszkowska</w:t>
      </w:r>
      <w:proofErr w:type="spellEnd"/>
      <w:r w:rsidR="002B21F6" w:rsidRPr="008E222F">
        <w:rPr>
          <w:rFonts w:ascii="Verdana" w:hAnsi="Verdana"/>
          <w:sz w:val="20"/>
          <w:szCs w:val="20"/>
          <w:lang w:val="es-CL"/>
        </w:rPr>
        <w:t xml:space="preserve"> (2014), tenían la responsabilidad de tener hijos sanos y fuertes para </w:t>
      </w:r>
      <w:r w:rsidR="00955BAE" w:rsidRPr="008E222F">
        <w:rPr>
          <w:rFonts w:ascii="Verdana" w:hAnsi="Verdana"/>
          <w:sz w:val="20"/>
          <w:szCs w:val="20"/>
          <w:lang w:val="es-CL"/>
        </w:rPr>
        <w:t>mantener el poderoso</w:t>
      </w:r>
      <w:r w:rsidR="002B21F6" w:rsidRPr="008E222F">
        <w:rPr>
          <w:rFonts w:ascii="Verdana" w:hAnsi="Verdana"/>
          <w:sz w:val="20"/>
          <w:szCs w:val="20"/>
          <w:lang w:val="es-CL"/>
        </w:rPr>
        <w:t xml:space="preserve"> ejército</w:t>
      </w:r>
      <w:r w:rsidR="00E04419" w:rsidRPr="008E222F">
        <w:rPr>
          <w:rFonts w:ascii="Verdana" w:hAnsi="Verdana"/>
          <w:sz w:val="20"/>
          <w:szCs w:val="20"/>
          <w:lang w:val="es-CL"/>
        </w:rPr>
        <w:t xml:space="preserve"> de dicha ciudad</w:t>
      </w:r>
      <w:r w:rsidR="002B21F6" w:rsidRPr="008E222F">
        <w:rPr>
          <w:rFonts w:ascii="Verdana" w:hAnsi="Verdana"/>
          <w:sz w:val="20"/>
          <w:szCs w:val="20"/>
          <w:lang w:val="es-CL"/>
        </w:rPr>
        <w:t xml:space="preserve">. </w:t>
      </w:r>
      <w:r w:rsidR="0099657D" w:rsidRPr="008E222F">
        <w:rPr>
          <w:rFonts w:ascii="Verdana" w:hAnsi="Verdana"/>
          <w:sz w:val="20"/>
          <w:szCs w:val="20"/>
          <w:lang w:val="es-CL"/>
        </w:rPr>
        <w:t>A causa de ello</w:t>
      </w:r>
      <w:r w:rsidR="002B21F6" w:rsidRPr="008E222F">
        <w:rPr>
          <w:rFonts w:ascii="Verdana" w:hAnsi="Verdana"/>
          <w:sz w:val="20"/>
          <w:szCs w:val="20"/>
          <w:lang w:val="es-CL"/>
        </w:rPr>
        <w:t xml:space="preserve">, como sostiene </w:t>
      </w:r>
      <w:proofErr w:type="spellStart"/>
      <w:r w:rsidR="002B21F6" w:rsidRPr="008E222F">
        <w:rPr>
          <w:rFonts w:ascii="Verdana" w:hAnsi="Verdana"/>
          <w:sz w:val="20"/>
          <w:szCs w:val="20"/>
          <w:lang w:val="es-CL"/>
        </w:rPr>
        <w:t>Feu</w:t>
      </w:r>
      <w:proofErr w:type="spellEnd"/>
      <w:r w:rsidR="002B21F6" w:rsidRPr="008E222F">
        <w:rPr>
          <w:rFonts w:ascii="Verdana" w:hAnsi="Verdana"/>
          <w:sz w:val="20"/>
          <w:szCs w:val="20"/>
          <w:lang w:val="es-CL"/>
        </w:rPr>
        <w:t xml:space="preserve"> y Abril (2020), no se plantea la necesidad de repensar el rol de la mujer como un elemento configurador</w:t>
      </w:r>
      <w:r w:rsidR="00B33C62" w:rsidRPr="008E222F">
        <w:rPr>
          <w:rFonts w:ascii="Verdana" w:hAnsi="Verdana"/>
          <w:sz w:val="20"/>
          <w:szCs w:val="20"/>
          <w:lang w:val="es-CL"/>
        </w:rPr>
        <w:t xml:space="preserve"> y basal</w:t>
      </w:r>
      <w:r w:rsidR="002B21F6" w:rsidRPr="008E222F">
        <w:rPr>
          <w:rFonts w:ascii="Verdana" w:hAnsi="Verdana"/>
          <w:sz w:val="20"/>
          <w:szCs w:val="20"/>
          <w:lang w:val="es-CL"/>
        </w:rPr>
        <w:t xml:space="preserve"> de la </w:t>
      </w:r>
      <w:proofErr w:type="spellStart"/>
      <w:r w:rsidR="003806FC" w:rsidRPr="008E222F">
        <w:rPr>
          <w:rFonts w:ascii="Verdana" w:hAnsi="Verdana"/>
          <w:sz w:val="20"/>
          <w:szCs w:val="20"/>
          <w:lang w:val="es-CL"/>
        </w:rPr>
        <w:t>hiper</w:t>
      </w:r>
      <w:r w:rsidR="002B21F6" w:rsidRPr="008E222F">
        <w:rPr>
          <w:rFonts w:ascii="Verdana" w:hAnsi="Verdana"/>
          <w:sz w:val="20"/>
          <w:szCs w:val="20"/>
          <w:lang w:val="es-CL"/>
        </w:rPr>
        <w:t>masculinidad</w:t>
      </w:r>
      <w:proofErr w:type="spellEnd"/>
      <w:r w:rsidR="003806FC" w:rsidRPr="008E222F">
        <w:rPr>
          <w:rFonts w:ascii="Verdana" w:hAnsi="Verdana"/>
          <w:sz w:val="20"/>
          <w:szCs w:val="20"/>
          <w:lang w:val="es-CL"/>
        </w:rPr>
        <w:t xml:space="preserve"> espartana</w:t>
      </w:r>
      <w:r w:rsidR="002B21F6" w:rsidRPr="008E222F">
        <w:rPr>
          <w:rFonts w:ascii="Verdana" w:hAnsi="Verdana"/>
          <w:sz w:val="20"/>
          <w:szCs w:val="20"/>
          <w:lang w:val="es-CL"/>
        </w:rPr>
        <w:t xml:space="preserve">. Por </w:t>
      </w:r>
      <w:r w:rsidR="00901A08" w:rsidRPr="008E222F">
        <w:rPr>
          <w:rFonts w:ascii="Verdana" w:hAnsi="Verdana"/>
          <w:sz w:val="20"/>
          <w:szCs w:val="20"/>
          <w:lang w:val="es-CL"/>
        </w:rPr>
        <w:t>último</w:t>
      </w:r>
      <w:r w:rsidR="002B21F6" w:rsidRPr="008E222F">
        <w:rPr>
          <w:rFonts w:ascii="Verdana" w:hAnsi="Verdana"/>
          <w:sz w:val="20"/>
          <w:szCs w:val="20"/>
          <w:lang w:val="es-CL"/>
        </w:rPr>
        <w:t xml:space="preserve">, </w:t>
      </w:r>
      <w:r w:rsidR="00901A08" w:rsidRPr="008E222F">
        <w:rPr>
          <w:rFonts w:ascii="Verdana" w:hAnsi="Verdana"/>
          <w:sz w:val="20"/>
          <w:szCs w:val="20"/>
          <w:lang w:val="es-CL"/>
        </w:rPr>
        <w:t>es relevante</w:t>
      </w:r>
      <w:r w:rsidR="002B21F6" w:rsidRPr="008E222F">
        <w:rPr>
          <w:rFonts w:ascii="Verdana" w:hAnsi="Verdana"/>
          <w:sz w:val="20"/>
          <w:szCs w:val="20"/>
          <w:lang w:val="es-CL"/>
        </w:rPr>
        <w:t xml:space="preserve"> agregar que </w:t>
      </w:r>
      <w:r w:rsidR="002B21F6" w:rsidRPr="008E222F">
        <w:rPr>
          <w:rFonts w:ascii="Verdana" w:hAnsi="Verdana"/>
          <w:sz w:val="20"/>
          <w:szCs w:val="20"/>
          <w:lang w:val="es-CL"/>
        </w:rPr>
        <w:lastRenderedPageBreak/>
        <w:t xml:space="preserve">el </w:t>
      </w:r>
      <w:r w:rsidR="005D271C" w:rsidRPr="008E222F">
        <w:rPr>
          <w:rFonts w:ascii="Verdana" w:hAnsi="Verdana"/>
          <w:sz w:val="20"/>
          <w:szCs w:val="20"/>
          <w:lang w:val="es-CL"/>
        </w:rPr>
        <w:t>fragmento</w:t>
      </w:r>
      <w:r w:rsidR="002B21F6" w:rsidRPr="008E222F">
        <w:rPr>
          <w:rFonts w:ascii="Verdana" w:hAnsi="Verdana"/>
          <w:sz w:val="20"/>
          <w:szCs w:val="20"/>
          <w:lang w:val="es-CL"/>
        </w:rPr>
        <w:t xml:space="preserve"> busca exponer una narrativa </w:t>
      </w:r>
      <w:r w:rsidR="007227CB" w:rsidRPr="008E222F">
        <w:rPr>
          <w:rFonts w:ascii="Verdana" w:hAnsi="Verdana"/>
          <w:sz w:val="20"/>
          <w:szCs w:val="20"/>
          <w:lang w:val="es-CL"/>
        </w:rPr>
        <w:t>«universal»</w:t>
      </w:r>
      <w:r w:rsidR="002B21F6" w:rsidRPr="008E222F">
        <w:rPr>
          <w:rFonts w:ascii="Verdana" w:hAnsi="Verdana"/>
          <w:sz w:val="20"/>
          <w:szCs w:val="20"/>
          <w:lang w:val="es-CL"/>
        </w:rPr>
        <w:t xml:space="preserve"> que se limita a argumentar y reiterar la exclusión </w:t>
      </w:r>
      <w:r w:rsidR="00D456A0" w:rsidRPr="008E222F">
        <w:rPr>
          <w:rFonts w:ascii="Verdana" w:hAnsi="Verdana"/>
          <w:sz w:val="20"/>
          <w:szCs w:val="20"/>
          <w:lang w:val="es-CL"/>
        </w:rPr>
        <w:t>femenina de</w:t>
      </w:r>
      <w:r w:rsidR="002B21F6" w:rsidRPr="008E222F">
        <w:rPr>
          <w:rFonts w:ascii="Verdana" w:hAnsi="Verdana"/>
          <w:sz w:val="20"/>
          <w:szCs w:val="20"/>
          <w:lang w:val="es-CL"/>
        </w:rPr>
        <w:t xml:space="preserve"> los sistemas de participación política de la Antigua Grecia.</w:t>
      </w:r>
    </w:p>
    <w:p w14:paraId="11E222C3" w14:textId="3BF06373" w:rsidR="00794D93" w:rsidRPr="00BF3F34" w:rsidRDefault="00794D93" w:rsidP="003D1236">
      <w:pPr>
        <w:pStyle w:val="Sinespaciado"/>
        <w:spacing w:line="360" w:lineRule="auto"/>
        <w:rPr>
          <w:rFonts w:ascii="Verdana" w:hAnsi="Verdana"/>
          <w:sz w:val="20"/>
          <w:szCs w:val="20"/>
        </w:rPr>
      </w:pPr>
    </w:p>
    <w:p w14:paraId="3C7DFBBA" w14:textId="3424D427" w:rsidR="002B21F6" w:rsidRPr="00BF3F34" w:rsidRDefault="002B21F6" w:rsidP="003D1236">
      <w:pPr>
        <w:pStyle w:val="Sinespaciado"/>
        <w:spacing w:line="360" w:lineRule="auto"/>
        <w:jc w:val="both"/>
        <w:rPr>
          <w:rFonts w:ascii="Verdana" w:hAnsi="Verdana"/>
          <w:b/>
          <w:bCs/>
          <w:sz w:val="20"/>
          <w:szCs w:val="20"/>
          <w:lang w:val="es-CL"/>
        </w:rPr>
      </w:pPr>
      <w:r w:rsidRPr="00BF3F34">
        <w:rPr>
          <w:rFonts w:ascii="Verdana" w:hAnsi="Verdana"/>
          <w:b/>
          <w:bCs/>
          <w:sz w:val="20"/>
          <w:szCs w:val="20"/>
          <w:lang w:val="es-CL"/>
        </w:rPr>
        <w:t xml:space="preserve">Categoría: </w:t>
      </w:r>
      <w:r w:rsidRPr="00CF1FC9">
        <w:rPr>
          <w:rFonts w:ascii="Verdana" w:hAnsi="Verdana"/>
          <w:bCs/>
          <w:sz w:val="20"/>
          <w:szCs w:val="20"/>
          <w:lang w:val="es-CL"/>
        </w:rPr>
        <w:t>Androcentrismo;</w:t>
      </w:r>
      <w:r w:rsidR="004E61A6" w:rsidRPr="00BF3F34">
        <w:rPr>
          <w:rFonts w:ascii="Verdana" w:hAnsi="Verdana"/>
          <w:b/>
          <w:bCs/>
          <w:sz w:val="20"/>
          <w:szCs w:val="20"/>
          <w:lang w:val="es-CL"/>
        </w:rPr>
        <w:t xml:space="preserve"> Subcategoría</w:t>
      </w:r>
      <w:r w:rsidR="00AE671F">
        <w:rPr>
          <w:rFonts w:ascii="Verdana" w:hAnsi="Verdana"/>
          <w:b/>
          <w:bCs/>
          <w:sz w:val="20"/>
          <w:szCs w:val="20"/>
          <w:lang w:val="es-CL"/>
        </w:rPr>
        <w:t xml:space="preserve"> 4</w:t>
      </w:r>
      <w:r w:rsidR="004E61A6" w:rsidRPr="00BF3F34">
        <w:rPr>
          <w:rFonts w:ascii="Verdana" w:hAnsi="Verdana"/>
          <w:b/>
          <w:bCs/>
          <w:sz w:val="20"/>
          <w:szCs w:val="20"/>
          <w:lang w:val="es-CL"/>
        </w:rPr>
        <w:t>:</w:t>
      </w:r>
      <w:r w:rsidRPr="00BF3F34">
        <w:rPr>
          <w:rFonts w:ascii="Verdana" w:hAnsi="Verdana"/>
          <w:b/>
          <w:bCs/>
          <w:sz w:val="20"/>
          <w:szCs w:val="20"/>
          <w:lang w:val="es-CL"/>
        </w:rPr>
        <w:t xml:space="preserve"> </w:t>
      </w:r>
      <w:r w:rsidRPr="00CF1FC9">
        <w:rPr>
          <w:rFonts w:ascii="Verdana" w:hAnsi="Verdana"/>
          <w:bCs/>
          <w:sz w:val="20"/>
          <w:szCs w:val="20"/>
          <w:lang w:val="es-CL"/>
        </w:rPr>
        <w:t>Exclusión parcial</w:t>
      </w:r>
    </w:p>
    <w:p w14:paraId="482EE1BE" w14:textId="690937A4" w:rsidR="002B21F6" w:rsidRDefault="002B21F6" w:rsidP="003D1236">
      <w:pPr>
        <w:pStyle w:val="Sinespaciado"/>
        <w:spacing w:line="360" w:lineRule="auto"/>
        <w:jc w:val="both"/>
        <w:rPr>
          <w:rFonts w:ascii="Verdana" w:hAnsi="Verdana"/>
          <w:sz w:val="20"/>
          <w:szCs w:val="20"/>
          <w:lang w:val="es-CL"/>
        </w:rPr>
      </w:pPr>
    </w:p>
    <w:p w14:paraId="4046208F" w14:textId="276C1FF9" w:rsidR="00051392" w:rsidRDefault="00051392" w:rsidP="00051392">
      <w:pPr>
        <w:pStyle w:val="Sinespaciado"/>
        <w:spacing w:line="360" w:lineRule="auto"/>
        <w:jc w:val="both"/>
        <w:rPr>
          <w:rFonts w:ascii="Verdana" w:hAnsi="Verdana"/>
          <w:b/>
          <w:bCs/>
          <w:sz w:val="20"/>
          <w:szCs w:val="20"/>
          <w:lang w:val="es-CL"/>
        </w:rPr>
      </w:pPr>
      <w:r>
        <w:rPr>
          <w:rFonts w:ascii="Verdana" w:hAnsi="Verdana"/>
          <w:b/>
          <w:bCs/>
          <w:sz w:val="20"/>
          <w:szCs w:val="20"/>
          <w:lang w:val="es-CL"/>
        </w:rPr>
        <w:t>Evidencia N° 6</w:t>
      </w:r>
    </w:p>
    <w:p w14:paraId="5D5BE756" w14:textId="6F63B405" w:rsidR="00051392" w:rsidRPr="00051392" w:rsidRDefault="00051392" w:rsidP="00051392">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Verdana" w:hAnsi="Verdana"/>
          <w:sz w:val="20"/>
          <w:szCs w:val="20"/>
          <w:lang w:val="es-CL"/>
        </w:rPr>
      </w:pPr>
      <w:r w:rsidRPr="00051392">
        <w:rPr>
          <w:rFonts w:ascii="Verdana" w:hAnsi="Verdana"/>
          <w:sz w:val="20"/>
          <w:szCs w:val="20"/>
          <w:lang w:val="es-CL"/>
        </w:rPr>
        <w:t xml:space="preserve">Tradicionalmente se ha destacado a pensadores hombres; sin embargo, hubo muchas mujeres que se desarrollaron en los distintos ámbitos del pensamiento, como la astrónoma </w:t>
      </w:r>
      <w:proofErr w:type="spellStart"/>
      <w:r w:rsidRPr="00051392">
        <w:rPr>
          <w:rFonts w:ascii="Verdana" w:hAnsi="Verdana"/>
          <w:i/>
          <w:iCs/>
          <w:sz w:val="20"/>
          <w:szCs w:val="20"/>
          <w:u w:val="single"/>
          <w:lang w:val="es-CL"/>
        </w:rPr>
        <w:t>Aglaonice</w:t>
      </w:r>
      <w:proofErr w:type="spellEnd"/>
      <w:r w:rsidRPr="00051392">
        <w:rPr>
          <w:rFonts w:ascii="Verdana" w:hAnsi="Verdana"/>
          <w:sz w:val="20"/>
          <w:szCs w:val="20"/>
          <w:lang w:val="es-CL"/>
        </w:rPr>
        <w:t xml:space="preserve">, las filósofas </w:t>
      </w:r>
      <w:proofErr w:type="spellStart"/>
      <w:r w:rsidRPr="00051392">
        <w:rPr>
          <w:rFonts w:ascii="Verdana" w:hAnsi="Verdana"/>
          <w:i/>
          <w:iCs/>
          <w:sz w:val="20"/>
          <w:szCs w:val="20"/>
          <w:u w:val="single"/>
          <w:lang w:val="es-CL"/>
        </w:rPr>
        <w:t>Axiothea</w:t>
      </w:r>
      <w:proofErr w:type="spellEnd"/>
      <w:r w:rsidRPr="00051392">
        <w:rPr>
          <w:rFonts w:ascii="Verdana" w:hAnsi="Verdana"/>
          <w:sz w:val="20"/>
          <w:szCs w:val="20"/>
          <w:lang w:val="es-CL"/>
        </w:rPr>
        <w:t xml:space="preserve">, </w:t>
      </w:r>
      <w:proofErr w:type="spellStart"/>
      <w:r w:rsidRPr="00051392">
        <w:rPr>
          <w:rFonts w:ascii="Verdana" w:hAnsi="Verdana"/>
          <w:i/>
          <w:iCs/>
          <w:sz w:val="20"/>
          <w:szCs w:val="20"/>
          <w:u w:val="single"/>
          <w:lang w:val="es-CL"/>
        </w:rPr>
        <w:t>Diotima</w:t>
      </w:r>
      <w:proofErr w:type="spellEnd"/>
      <w:r w:rsidRPr="00051392">
        <w:rPr>
          <w:rFonts w:ascii="Verdana" w:hAnsi="Verdana"/>
          <w:sz w:val="20"/>
          <w:szCs w:val="20"/>
          <w:lang w:val="es-CL"/>
        </w:rPr>
        <w:t xml:space="preserve">, </w:t>
      </w:r>
      <w:proofErr w:type="spellStart"/>
      <w:r w:rsidRPr="00051392">
        <w:rPr>
          <w:rFonts w:ascii="Verdana" w:hAnsi="Verdana"/>
          <w:i/>
          <w:iCs/>
          <w:sz w:val="20"/>
          <w:szCs w:val="20"/>
          <w:u w:val="single"/>
          <w:lang w:val="es-CL"/>
        </w:rPr>
        <w:t>Lastenia</w:t>
      </w:r>
      <w:proofErr w:type="spellEnd"/>
      <w:r w:rsidRPr="00051392">
        <w:rPr>
          <w:rFonts w:ascii="Verdana" w:hAnsi="Verdana"/>
          <w:i/>
          <w:iCs/>
          <w:sz w:val="20"/>
          <w:szCs w:val="20"/>
          <w:u w:val="single"/>
          <w:lang w:val="es-CL"/>
        </w:rPr>
        <w:t xml:space="preserve"> de </w:t>
      </w:r>
      <w:proofErr w:type="spellStart"/>
      <w:r w:rsidRPr="00051392">
        <w:rPr>
          <w:rFonts w:ascii="Verdana" w:hAnsi="Verdana"/>
          <w:i/>
          <w:iCs/>
          <w:sz w:val="20"/>
          <w:szCs w:val="20"/>
          <w:u w:val="single"/>
          <w:lang w:val="es-CL"/>
        </w:rPr>
        <w:t>Mantinea</w:t>
      </w:r>
      <w:proofErr w:type="spellEnd"/>
      <w:r w:rsidRPr="00051392">
        <w:rPr>
          <w:rFonts w:ascii="Verdana" w:hAnsi="Verdana"/>
          <w:sz w:val="20"/>
          <w:szCs w:val="20"/>
          <w:lang w:val="es-CL"/>
        </w:rPr>
        <w:t xml:space="preserve"> y la matemática </w:t>
      </w:r>
      <w:proofErr w:type="spellStart"/>
      <w:r w:rsidRPr="00051392">
        <w:rPr>
          <w:rFonts w:ascii="Verdana" w:hAnsi="Verdana"/>
          <w:i/>
          <w:iCs/>
          <w:sz w:val="20"/>
          <w:szCs w:val="20"/>
          <w:u w:val="single"/>
          <w:lang w:val="es-CL"/>
        </w:rPr>
        <w:t>Hipatia</w:t>
      </w:r>
      <w:proofErr w:type="spellEnd"/>
      <w:r w:rsidRPr="00051392">
        <w:rPr>
          <w:rFonts w:ascii="Verdana" w:hAnsi="Verdana"/>
          <w:i/>
          <w:iCs/>
          <w:sz w:val="20"/>
          <w:szCs w:val="20"/>
          <w:u w:val="single"/>
          <w:lang w:val="es-CL"/>
        </w:rPr>
        <w:t xml:space="preserve"> de Alejandría</w:t>
      </w:r>
      <w:r w:rsidRPr="00051392">
        <w:rPr>
          <w:rFonts w:ascii="Verdana" w:hAnsi="Verdana"/>
          <w:sz w:val="20"/>
          <w:szCs w:val="20"/>
          <w:lang w:val="es-CL"/>
        </w:rPr>
        <w:t xml:space="preserve"> (Historia, Geografía y Ciencias Sociales, Texto del Estudiante, 3º básico, Editorial SM, p. 154).</w:t>
      </w:r>
      <w:r>
        <w:rPr>
          <w:rFonts w:ascii="Verdana" w:hAnsi="Verdana"/>
          <w:sz w:val="20"/>
          <w:szCs w:val="20"/>
          <w:lang w:val="es-CL"/>
        </w:rPr>
        <w:t xml:space="preserve"> </w:t>
      </w:r>
    </w:p>
    <w:p w14:paraId="29C6C2D5" w14:textId="77777777" w:rsidR="00051392" w:rsidRDefault="00051392" w:rsidP="00051392">
      <w:pPr>
        <w:pStyle w:val="Sinespaciado"/>
        <w:spacing w:line="360" w:lineRule="auto"/>
        <w:jc w:val="both"/>
        <w:rPr>
          <w:rFonts w:ascii="Verdana" w:hAnsi="Verdana"/>
          <w:sz w:val="20"/>
          <w:szCs w:val="20"/>
          <w:lang w:val="es-CL"/>
        </w:rPr>
      </w:pPr>
    </w:p>
    <w:p w14:paraId="44CEC3CE" w14:textId="02C6191A" w:rsidR="00C1292A" w:rsidRPr="008E222F" w:rsidRDefault="00C1292A" w:rsidP="003D1236">
      <w:pPr>
        <w:pStyle w:val="Sinespaciado"/>
        <w:spacing w:line="360" w:lineRule="auto"/>
        <w:jc w:val="both"/>
        <w:rPr>
          <w:rFonts w:ascii="Verdana" w:hAnsi="Verdana"/>
          <w:sz w:val="20"/>
          <w:szCs w:val="20"/>
          <w:lang w:val="es-CL"/>
        </w:rPr>
      </w:pPr>
      <w:r w:rsidRPr="008E222F">
        <w:rPr>
          <w:rFonts w:ascii="Verdana" w:hAnsi="Verdana"/>
          <w:sz w:val="20"/>
          <w:szCs w:val="20"/>
          <w:lang w:val="es-CL"/>
        </w:rPr>
        <w:t>En</w:t>
      </w:r>
      <w:r w:rsidR="00031730" w:rsidRPr="008E222F">
        <w:rPr>
          <w:rFonts w:ascii="Verdana" w:hAnsi="Verdana"/>
          <w:sz w:val="20"/>
          <w:szCs w:val="20"/>
          <w:lang w:val="es-CL"/>
        </w:rPr>
        <w:t xml:space="preserve"> este extracto</w:t>
      </w:r>
      <w:r w:rsidRPr="008E222F">
        <w:rPr>
          <w:rFonts w:ascii="Verdana" w:hAnsi="Verdana"/>
          <w:sz w:val="20"/>
          <w:szCs w:val="20"/>
          <w:lang w:val="es-CL"/>
        </w:rPr>
        <w:t xml:space="preserve"> se </w:t>
      </w:r>
      <w:r w:rsidR="00960945" w:rsidRPr="008E222F">
        <w:rPr>
          <w:rFonts w:ascii="Verdana" w:hAnsi="Verdana"/>
          <w:sz w:val="20"/>
          <w:szCs w:val="20"/>
          <w:lang w:val="es-CL"/>
        </w:rPr>
        <w:t>busca</w:t>
      </w:r>
      <w:r w:rsidR="00031730" w:rsidRPr="008E222F">
        <w:rPr>
          <w:rFonts w:ascii="Verdana" w:hAnsi="Verdana"/>
          <w:sz w:val="20"/>
          <w:szCs w:val="20"/>
          <w:lang w:val="es-CL"/>
        </w:rPr>
        <w:t xml:space="preserve"> reconocer</w:t>
      </w:r>
      <w:r w:rsidR="00481DE3" w:rsidRPr="008E222F">
        <w:rPr>
          <w:rFonts w:ascii="Verdana" w:hAnsi="Verdana"/>
          <w:sz w:val="20"/>
          <w:szCs w:val="20"/>
          <w:lang w:val="es-CL"/>
        </w:rPr>
        <w:t xml:space="preserve"> el papel de la</w:t>
      </w:r>
      <w:r w:rsidR="00960945" w:rsidRPr="008E222F">
        <w:rPr>
          <w:rFonts w:ascii="Verdana" w:hAnsi="Verdana"/>
          <w:sz w:val="20"/>
          <w:szCs w:val="20"/>
          <w:lang w:val="es-CL"/>
        </w:rPr>
        <w:t>s</w:t>
      </w:r>
      <w:r w:rsidR="00481DE3" w:rsidRPr="008E222F">
        <w:rPr>
          <w:rFonts w:ascii="Verdana" w:hAnsi="Verdana"/>
          <w:sz w:val="20"/>
          <w:szCs w:val="20"/>
          <w:lang w:val="es-CL"/>
        </w:rPr>
        <w:t xml:space="preserve"> mujer</w:t>
      </w:r>
      <w:r w:rsidR="00960945" w:rsidRPr="008E222F">
        <w:rPr>
          <w:rFonts w:ascii="Verdana" w:hAnsi="Verdana"/>
          <w:sz w:val="20"/>
          <w:szCs w:val="20"/>
          <w:lang w:val="es-CL"/>
        </w:rPr>
        <w:t>es</w:t>
      </w:r>
      <w:r w:rsidR="00481DE3" w:rsidRPr="008E222F">
        <w:rPr>
          <w:rFonts w:ascii="Verdana" w:hAnsi="Verdana"/>
          <w:sz w:val="20"/>
          <w:szCs w:val="20"/>
          <w:lang w:val="es-CL"/>
        </w:rPr>
        <w:t xml:space="preserve"> en la ciencia</w:t>
      </w:r>
      <w:r w:rsidR="00960945" w:rsidRPr="008E222F">
        <w:rPr>
          <w:rFonts w:ascii="Verdana" w:hAnsi="Verdana"/>
          <w:sz w:val="20"/>
          <w:szCs w:val="20"/>
          <w:lang w:val="es-CL"/>
        </w:rPr>
        <w:t xml:space="preserve"> antigua</w:t>
      </w:r>
      <w:r w:rsidR="007833D4" w:rsidRPr="008E222F">
        <w:rPr>
          <w:rFonts w:ascii="Verdana" w:hAnsi="Verdana"/>
          <w:sz w:val="20"/>
          <w:szCs w:val="20"/>
          <w:lang w:val="es-CL"/>
        </w:rPr>
        <w:t xml:space="preserve">; no obstante, </w:t>
      </w:r>
      <w:r w:rsidR="00031730" w:rsidRPr="008E222F">
        <w:rPr>
          <w:rFonts w:ascii="Verdana" w:hAnsi="Verdana"/>
          <w:sz w:val="20"/>
          <w:szCs w:val="20"/>
          <w:lang w:val="es-CL"/>
        </w:rPr>
        <w:t>son excluidas</w:t>
      </w:r>
      <w:r w:rsidR="007833D4" w:rsidRPr="008E222F">
        <w:rPr>
          <w:rFonts w:ascii="Verdana" w:hAnsi="Verdana"/>
          <w:sz w:val="20"/>
          <w:szCs w:val="20"/>
          <w:lang w:val="es-CL"/>
        </w:rPr>
        <w:t xml:space="preserve"> </w:t>
      </w:r>
      <w:r w:rsidR="00031730" w:rsidRPr="008E222F">
        <w:rPr>
          <w:rFonts w:ascii="Verdana" w:hAnsi="Verdana"/>
          <w:sz w:val="20"/>
          <w:szCs w:val="20"/>
          <w:lang w:val="es-CL"/>
        </w:rPr>
        <w:t>de forma parcial</w:t>
      </w:r>
      <w:r w:rsidR="007833D4" w:rsidRPr="008E222F">
        <w:rPr>
          <w:rFonts w:ascii="Verdana" w:hAnsi="Verdana"/>
          <w:sz w:val="20"/>
          <w:szCs w:val="20"/>
          <w:lang w:val="es-CL"/>
        </w:rPr>
        <w:t xml:space="preserve"> en el discurso</w:t>
      </w:r>
      <w:r w:rsidR="00615EA8" w:rsidRPr="008E222F">
        <w:rPr>
          <w:rFonts w:ascii="Verdana" w:hAnsi="Verdana"/>
          <w:sz w:val="20"/>
          <w:szCs w:val="20"/>
          <w:lang w:val="es-CL"/>
        </w:rPr>
        <w:t>; es decir, se</w:t>
      </w:r>
      <w:r w:rsidR="00960945" w:rsidRPr="008E222F">
        <w:rPr>
          <w:rFonts w:ascii="Verdana" w:hAnsi="Verdana"/>
          <w:sz w:val="20"/>
          <w:szCs w:val="20"/>
          <w:lang w:val="es-CL"/>
        </w:rPr>
        <w:t xml:space="preserve"> </w:t>
      </w:r>
      <w:r w:rsidR="00615EA8" w:rsidRPr="008E222F">
        <w:rPr>
          <w:rFonts w:ascii="Verdana" w:hAnsi="Verdana"/>
          <w:sz w:val="20"/>
          <w:szCs w:val="20"/>
          <w:lang w:val="es-CL"/>
        </w:rPr>
        <w:t xml:space="preserve">citan algunas figuras femeninas, pero </w:t>
      </w:r>
      <w:r w:rsidR="00CF41D4" w:rsidRPr="008E222F">
        <w:rPr>
          <w:rFonts w:ascii="Verdana" w:hAnsi="Verdana"/>
          <w:sz w:val="20"/>
          <w:szCs w:val="20"/>
          <w:lang w:val="es-CL"/>
        </w:rPr>
        <w:t>sin</w:t>
      </w:r>
      <w:r w:rsidR="007833D4" w:rsidRPr="008E222F">
        <w:rPr>
          <w:rFonts w:ascii="Verdana" w:hAnsi="Verdana"/>
          <w:sz w:val="20"/>
          <w:szCs w:val="20"/>
          <w:lang w:val="es-CL"/>
        </w:rPr>
        <w:t xml:space="preserve"> </w:t>
      </w:r>
      <w:r w:rsidR="00481DE3" w:rsidRPr="008E222F">
        <w:rPr>
          <w:rFonts w:ascii="Verdana" w:hAnsi="Verdana"/>
          <w:sz w:val="20"/>
          <w:szCs w:val="20"/>
          <w:lang w:val="es-CL"/>
        </w:rPr>
        <w:t>especifica</w:t>
      </w:r>
      <w:r w:rsidR="00CF41D4" w:rsidRPr="008E222F">
        <w:rPr>
          <w:rFonts w:ascii="Verdana" w:hAnsi="Verdana"/>
          <w:sz w:val="20"/>
          <w:szCs w:val="20"/>
          <w:lang w:val="es-CL"/>
        </w:rPr>
        <w:t>r</w:t>
      </w:r>
      <w:r w:rsidR="00481DE3" w:rsidRPr="008E222F">
        <w:rPr>
          <w:rFonts w:ascii="Verdana" w:hAnsi="Verdana"/>
          <w:sz w:val="20"/>
          <w:szCs w:val="20"/>
          <w:lang w:val="es-CL"/>
        </w:rPr>
        <w:t xml:space="preserve"> su </w:t>
      </w:r>
      <w:r w:rsidR="00CF41D4" w:rsidRPr="008E222F">
        <w:rPr>
          <w:rFonts w:ascii="Verdana" w:hAnsi="Verdana"/>
          <w:sz w:val="20"/>
          <w:szCs w:val="20"/>
          <w:lang w:val="es-CL"/>
        </w:rPr>
        <w:t>aporte social</w:t>
      </w:r>
      <w:r w:rsidR="00481DE3" w:rsidRPr="008E222F">
        <w:rPr>
          <w:rFonts w:ascii="Verdana" w:hAnsi="Verdana"/>
          <w:sz w:val="20"/>
          <w:szCs w:val="20"/>
          <w:lang w:val="es-CL"/>
        </w:rPr>
        <w:t xml:space="preserve"> </w:t>
      </w:r>
      <w:r w:rsidR="00615EA8" w:rsidRPr="008E222F">
        <w:rPr>
          <w:rFonts w:ascii="Verdana" w:hAnsi="Verdana"/>
          <w:sz w:val="20"/>
          <w:szCs w:val="20"/>
          <w:lang w:val="es-CL"/>
        </w:rPr>
        <w:t xml:space="preserve">y sin </w:t>
      </w:r>
      <w:r w:rsidR="00481DE3" w:rsidRPr="008E222F">
        <w:rPr>
          <w:rFonts w:ascii="Verdana" w:hAnsi="Verdana"/>
          <w:sz w:val="20"/>
          <w:szCs w:val="20"/>
          <w:lang w:val="es-CL"/>
        </w:rPr>
        <w:t>discut</w:t>
      </w:r>
      <w:r w:rsidR="00CF41D4" w:rsidRPr="008E222F">
        <w:rPr>
          <w:rFonts w:ascii="Verdana" w:hAnsi="Verdana"/>
          <w:sz w:val="20"/>
          <w:szCs w:val="20"/>
          <w:lang w:val="es-CL"/>
        </w:rPr>
        <w:t>ir</w:t>
      </w:r>
      <w:r w:rsidR="00481DE3" w:rsidRPr="008E222F">
        <w:rPr>
          <w:rFonts w:ascii="Verdana" w:hAnsi="Verdana"/>
          <w:sz w:val="20"/>
          <w:szCs w:val="20"/>
          <w:lang w:val="es-CL"/>
        </w:rPr>
        <w:t xml:space="preserve"> sobre su historicidad, </w:t>
      </w:r>
      <w:r w:rsidR="007833D4" w:rsidRPr="008E222F">
        <w:rPr>
          <w:rFonts w:ascii="Verdana" w:hAnsi="Verdana"/>
          <w:sz w:val="20"/>
          <w:szCs w:val="20"/>
          <w:lang w:val="es-CL"/>
        </w:rPr>
        <w:t>pues</w:t>
      </w:r>
      <w:r w:rsidR="00481DE3" w:rsidRPr="008E222F">
        <w:rPr>
          <w:rFonts w:ascii="Verdana" w:hAnsi="Verdana"/>
          <w:sz w:val="20"/>
          <w:szCs w:val="20"/>
          <w:lang w:val="es-CL"/>
        </w:rPr>
        <w:t xml:space="preserve"> el fragmento da por cierta su existencia, ignorando</w:t>
      </w:r>
      <w:r w:rsidR="00B035BE" w:rsidRPr="008E222F">
        <w:rPr>
          <w:rFonts w:ascii="Verdana" w:hAnsi="Verdana"/>
          <w:sz w:val="20"/>
          <w:szCs w:val="20"/>
          <w:lang w:val="es-CL"/>
        </w:rPr>
        <w:t>, como sostienen Mateo y Pastor (2020),</w:t>
      </w:r>
      <w:r w:rsidR="00481DE3" w:rsidRPr="008E222F">
        <w:rPr>
          <w:rFonts w:ascii="Verdana" w:hAnsi="Verdana"/>
          <w:sz w:val="20"/>
          <w:szCs w:val="20"/>
          <w:lang w:val="es-CL"/>
        </w:rPr>
        <w:t xml:space="preserve"> que hay </w:t>
      </w:r>
      <w:r w:rsidR="002D3C90" w:rsidRPr="008E222F">
        <w:rPr>
          <w:rFonts w:ascii="Verdana" w:hAnsi="Verdana"/>
          <w:sz w:val="20"/>
          <w:szCs w:val="20"/>
          <w:lang w:val="es-CL"/>
        </w:rPr>
        <w:t>escasísimas</w:t>
      </w:r>
      <w:r w:rsidR="00481DE3" w:rsidRPr="008E222F">
        <w:rPr>
          <w:rFonts w:ascii="Verdana" w:hAnsi="Verdana"/>
          <w:sz w:val="20"/>
          <w:szCs w:val="20"/>
          <w:lang w:val="es-CL"/>
        </w:rPr>
        <w:t xml:space="preserve"> fuentes</w:t>
      </w:r>
      <w:r w:rsidR="00AB1ABA" w:rsidRPr="008E222F">
        <w:rPr>
          <w:rFonts w:ascii="Verdana" w:hAnsi="Verdana"/>
          <w:sz w:val="20"/>
          <w:szCs w:val="20"/>
          <w:lang w:val="es-CL"/>
        </w:rPr>
        <w:t xml:space="preserve"> y estudios</w:t>
      </w:r>
      <w:r w:rsidR="00481DE3" w:rsidRPr="008E222F">
        <w:rPr>
          <w:rFonts w:ascii="Verdana" w:hAnsi="Verdana"/>
          <w:sz w:val="20"/>
          <w:szCs w:val="20"/>
          <w:lang w:val="es-CL"/>
        </w:rPr>
        <w:t xml:space="preserve"> que prueban tal condición.</w:t>
      </w:r>
      <w:r w:rsidR="00840051" w:rsidRPr="008E222F">
        <w:rPr>
          <w:rFonts w:ascii="Verdana" w:hAnsi="Verdana"/>
          <w:sz w:val="20"/>
          <w:szCs w:val="20"/>
          <w:lang w:val="es-CL"/>
        </w:rPr>
        <w:t xml:space="preserve"> </w:t>
      </w:r>
      <w:r w:rsidR="00960945" w:rsidRPr="008E222F">
        <w:rPr>
          <w:rFonts w:ascii="Verdana" w:hAnsi="Verdana"/>
          <w:sz w:val="20"/>
          <w:szCs w:val="20"/>
          <w:lang w:val="es-CL"/>
        </w:rPr>
        <w:t>Sin embargo</w:t>
      </w:r>
      <w:r w:rsidR="00840051" w:rsidRPr="008E222F">
        <w:rPr>
          <w:rFonts w:ascii="Verdana" w:hAnsi="Verdana"/>
          <w:sz w:val="20"/>
          <w:szCs w:val="20"/>
          <w:lang w:val="es-CL"/>
        </w:rPr>
        <w:t>, cabe destacar que hay grandes historiador</w:t>
      </w:r>
      <w:r w:rsidR="00960945" w:rsidRPr="008E222F">
        <w:rPr>
          <w:rFonts w:ascii="Verdana" w:hAnsi="Verdana"/>
          <w:sz w:val="20"/>
          <w:szCs w:val="20"/>
          <w:lang w:val="es-CL"/>
        </w:rPr>
        <w:t>a</w:t>
      </w:r>
      <w:r w:rsidR="00840051" w:rsidRPr="008E222F">
        <w:rPr>
          <w:rFonts w:ascii="Verdana" w:hAnsi="Verdana"/>
          <w:sz w:val="20"/>
          <w:szCs w:val="20"/>
          <w:lang w:val="es-CL"/>
        </w:rPr>
        <w:t xml:space="preserve">s, como Sarah </w:t>
      </w:r>
      <w:proofErr w:type="spellStart"/>
      <w:r w:rsidR="00840051" w:rsidRPr="008E222F">
        <w:rPr>
          <w:rFonts w:ascii="Verdana" w:hAnsi="Verdana"/>
          <w:sz w:val="20"/>
          <w:szCs w:val="20"/>
          <w:lang w:val="es-CL"/>
        </w:rPr>
        <w:t>Pomeroy</w:t>
      </w:r>
      <w:proofErr w:type="spellEnd"/>
      <w:r w:rsidR="00840051" w:rsidRPr="008E222F">
        <w:rPr>
          <w:rFonts w:ascii="Verdana" w:hAnsi="Verdana"/>
          <w:sz w:val="20"/>
          <w:szCs w:val="20"/>
          <w:lang w:val="es-CL"/>
        </w:rPr>
        <w:t xml:space="preserve">, </w:t>
      </w:r>
      <w:proofErr w:type="spellStart"/>
      <w:r w:rsidR="00840051" w:rsidRPr="008E222F">
        <w:rPr>
          <w:rFonts w:ascii="Verdana" w:hAnsi="Verdana"/>
          <w:sz w:val="20"/>
          <w:szCs w:val="20"/>
          <w:lang w:val="es-CL"/>
        </w:rPr>
        <w:t>Gerda</w:t>
      </w:r>
      <w:proofErr w:type="spellEnd"/>
      <w:r w:rsidR="00840051" w:rsidRPr="008E222F">
        <w:rPr>
          <w:rFonts w:ascii="Verdana" w:hAnsi="Verdana"/>
          <w:sz w:val="20"/>
          <w:szCs w:val="20"/>
          <w:lang w:val="es-CL"/>
        </w:rPr>
        <w:t xml:space="preserve"> Lerner, Cándida Martínez y Nicole </w:t>
      </w:r>
      <w:proofErr w:type="spellStart"/>
      <w:r w:rsidR="00840051" w:rsidRPr="008E222F">
        <w:rPr>
          <w:rFonts w:ascii="Verdana" w:hAnsi="Verdana"/>
          <w:sz w:val="20"/>
          <w:szCs w:val="20"/>
          <w:lang w:val="es-CL"/>
        </w:rPr>
        <w:t>Loraux</w:t>
      </w:r>
      <w:proofErr w:type="spellEnd"/>
      <w:r w:rsidR="00840051" w:rsidRPr="008E222F">
        <w:rPr>
          <w:rFonts w:ascii="Verdana" w:hAnsi="Verdana"/>
          <w:sz w:val="20"/>
          <w:szCs w:val="20"/>
          <w:lang w:val="es-CL"/>
        </w:rPr>
        <w:t>, que han hecho enormes esfuerzos por evidenciar constantemente la participación de la mujer en la</w:t>
      </w:r>
      <w:r w:rsidR="00F34B65" w:rsidRPr="008E222F">
        <w:rPr>
          <w:rFonts w:ascii="Verdana" w:hAnsi="Verdana"/>
          <w:sz w:val="20"/>
          <w:szCs w:val="20"/>
          <w:lang w:val="es-CL"/>
        </w:rPr>
        <w:t>s</w:t>
      </w:r>
      <w:r w:rsidR="00840051" w:rsidRPr="008E222F">
        <w:rPr>
          <w:rFonts w:ascii="Verdana" w:hAnsi="Verdana"/>
          <w:sz w:val="20"/>
          <w:szCs w:val="20"/>
          <w:lang w:val="es-CL"/>
        </w:rPr>
        <w:t xml:space="preserve"> sociedad</w:t>
      </w:r>
      <w:r w:rsidR="00F34B65" w:rsidRPr="008E222F">
        <w:rPr>
          <w:rFonts w:ascii="Verdana" w:hAnsi="Verdana"/>
          <w:sz w:val="20"/>
          <w:szCs w:val="20"/>
          <w:lang w:val="es-CL"/>
        </w:rPr>
        <w:t>es</w:t>
      </w:r>
      <w:r w:rsidR="00840051" w:rsidRPr="008E222F">
        <w:rPr>
          <w:rFonts w:ascii="Verdana" w:hAnsi="Verdana"/>
          <w:sz w:val="20"/>
          <w:szCs w:val="20"/>
          <w:lang w:val="es-CL"/>
        </w:rPr>
        <w:t xml:space="preserve"> griega y romana; </w:t>
      </w:r>
      <w:r w:rsidR="00960945" w:rsidRPr="008E222F">
        <w:rPr>
          <w:rFonts w:ascii="Verdana" w:hAnsi="Verdana"/>
          <w:sz w:val="20"/>
          <w:szCs w:val="20"/>
          <w:lang w:val="es-CL"/>
        </w:rPr>
        <w:t>no obstante</w:t>
      </w:r>
      <w:r w:rsidR="00840051" w:rsidRPr="008E222F">
        <w:rPr>
          <w:rFonts w:ascii="Verdana" w:hAnsi="Verdana"/>
          <w:sz w:val="20"/>
          <w:szCs w:val="20"/>
          <w:lang w:val="es-CL"/>
        </w:rPr>
        <w:t xml:space="preserve">, estas aportaciones </w:t>
      </w:r>
      <w:r w:rsidR="00960945" w:rsidRPr="008E222F">
        <w:rPr>
          <w:rFonts w:ascii="Verdana" w:hAnsi="Verdana"/>
          <w:sz w:val="20"/>
          <w:szCs w:val="20"/>
          <w:lang w:val="es-CL"/>
        </w:rPr>
        <w:t xml:space="preserve">han sido completamente descartadas </w:t>
      </w:r>
      <w:r w:rsidR="00840051" w:rsidRPr="008E222F">
        <w:rPr>
          <w:rFonts w:ascii="Verdana" w:hAnsi="Verdana"/>
          <w:sz w:val="20"/>
          <w:szCs w:val="20"/>
          <w:lang w:val="es-CL"/>
        </w:rPr>
        <w:t xml:space="preserve">por el </w:t>
      </w:r>
      <w:proofErr w:type="spellStart"/>
      <w:r w:rsidR="00840051" w:rsidRPr="008E222F">
        <w:rPr>
          <w:rFonts w:ascii="Verdana" w:hAnsi="Verdana"/>
          <w:sz w:val="20"/>
          <w:szCs w:val="20"/>
          <w:lang w:val="es-CL"/>
        </w:rPr>
        <w:t>curriculum</w:t>
      </w:r>
      <w:proofErr w:type="spellEnd"/>
      <w:r w:rsidR="00840051" w:rsidRPr="008E222F">
        <w:rPr>
          <w:rFonts w:ascii="Verdana" w:hAnsi="Verdana"/>
          <w:sz w:val="20"/>
          <w:szCs w:val="20"/>
          <w:lang w:val="es-CL"/>
        </w:rPr>
        <w:t xml:space="preserve"> escola</w:t>
      </w:r>
      <w:r w:rsidR="00960945" w:rsidRPr="008E222F">
        <w:rPr>
          <w:rFonts w:ascii="Verdana" w:hAnsi="Verdana"/>
          <w:sz w:val="20"/>
          <w:szCs w:val="20"/>
          <w:lang w:val="es-CL"/>
        </w:rPr>
        <w:t>r chileno</w:t>
      </w:r>
      <w:r w:rsidR="00840051" w:rsidRPr="008E222F">
        <w:rPr>
          <w:rFonts w:ascii="Verdana" w:hAnsi="Verdana"/>
          <w:sz w:val="20"/>
          <w:szCs w:val="20"/>
          <w:lang w:val="es-CL"/>
        </w:rPr>
        <w:t>.</w:t>
      </w:r>
    </w:p>
    <w:p w14:paraId="6F721CCD" w14:textId="77777777" w:rsidR="00875A54" w:rsidRPr="00BF3F34" w:rsidRDefault="00875A54" w:rsidP="003D1236">
      <w:pPr>
        <w:pStyle w:val="Sinespaciado"/>
        <w:spacing w:line="360" w:lineRule="auto"/>
        <w:jc w:val="both"/>
        <w:rPr>
          <w:rFonts w:ascii="Verdana" w:hAnsi="Verdana"/>
          <w:b/>
          <w:bCs/>
          <w:sz w:val="20"/>
          <w:szCs w:val="20"/>
          <w:lang w:val="es-CL"/>
        </w:rPr>
      </w:pPr>
    </w:p>
    <w:p w14:paraId="6226C098" w14:textId="11A5AFD9" w:rsidR="002B21F6" w:rsidRPr="00CF1FC9" w:rsidRDefault="002B21F6" w:rsidP="003D1236">
      <w:pPr>
        <w:pStyle w:val="Sinespaciado"/>
        <w:spacing w:line="360" w:lineRule="auto"/>
        <w:jc w:val="both"/>
        <w:rPr>
          <w:rFonts w:ascii="Verdana" w:hAnsi="Verdana"/>
          <w:bCs/>
          <w:sz w:val="20"/>
          <w:szCs w:val="20"/>
          <w:lang w:val="es-CL"/>
        </w:rPr>
      </w:pPr>
      <w:r w:rsidRPr="00BF3F34">
        <w:rPr>
          <w:rFonts w:ascii="Verdana" w:hAnsi="Verdana"/>
          <w:b/>
          <w:bCs/>
          <w:sz w:val="20"/>
          <w:szCs w:val="20"/>
          <w:lang w:val="es-CL"/>
        </w:rPr>
        <w:t xml:space="preserve">Categoría: </w:t>
      </w:r>
      <w:r w:rsidRPr="00CF1FC9">
        <w:rPr>
          <w:rFonts w:ascii="Verdana" w:hAnsi="Verdana"/>
          <w:bCs/>
          <w:sz w:val="20"/>
          <w:szCs w:val="20"/>
          <w:lang w:val="es-CL"/>
        </w:rPr>
        <w:t>Androcentrismo;</w:t>
      </w:r>
      <w:r w:rsidRPr="00BF3F34">
        <w:rPr>
          <w:rFonts w:ascii="Verdana" w:hAnsi="Verdana"/>
          <w:b/>
          <w:bCs/>
          <w:sz w:val="20"/>
          <w:szCs w:val="20"/>
          <w:lang w:val="es-CL"/>
        </w:rPr>
        <w:t xml:space="preserve"> Subcategoría</w:t>
      </w:r>
      <w:r w:rsidR="00AE671F">
        <w:rPr>
          <w:rFonts w:ascii="Verdana" w:hAnsi="Verdana"/>
          <w:b/>
          <w:bCs/>
          <w:sz w:val="20"/>
          <w:szCs w:val="20"/>
          <w:lang w:val="es-CL"/>
        </w:rPr>
        <w:t xml:space="preserve"> 5</w:t>
      </w:r>
      <w:r w:rsidRPr="00BF3F34">
        <w:rPr>
          <w:rFonts w:ascii="Verdana" w:hAnsi="Verdana"/>
          <w:b/>
          <w:bCs/>
          <w:sz w:val="20"/>
          <w:szCs w:val="20"/>
          <w:lang w:val="es-CL"/>
        </w:rPr>
        <w:t xml:space="preserve">: </w:t>
      </w:r>
      <w:r w:rsidRPr="00CF1FC9">
        <w:rPr>
          <w:rFonts w:ascii="Verdana" w:hAnsi="Verdana"/>
          <w:bCs/>
          <w:sz w:val="20"/>
          <w:szCs w:val="20"/>
          <w:lang w:val="es-CL"/>
        </w:rPr>
        <w:t>Supresión</w:t>
      </w:r>
    </w:p>
    <w:p w14:paraId="0DF9431D" w14:textId="77777777" w:rsidR="00051392" w:rsidRDefault="00051392" w:rsidP="00051392">
      <w:pPr>
        <w:pStyle w:val="Sinespaciado"/>
        <w:spacing w:line="360" w:lineRule="auto"/>
        <w:jc w:val="both"/>
        <w:rPr>
          <w:rFonts w:ascii="Verdana" w:hAnsi="Verdana"/>
          <w:b/>
          <w:bCs/>
          <w:sz w:val="20"/>
          <w:szCs w:val="20"/>
          <w:lang w:val="es-CL"/>
        </w:rPr>
      </w:pPr>
    </w:p>
    <w:p w14:paraId="4927D012" w14:textId="53850F49" w:rsidR="00051392" w:rsidRDefault="00051392" w:rsidP="00051392">
      <w:pPr>
        <w:pStyle w:val="Sinespaciado"/>
        <w:spacing w:line="360" w:lineRule="auto"/>
        <w:jc w:val="both"/>
        <w:rPr>
          <w:rFonts w:ascii="Verdana" w:hAnsi="Verdana"/>
          <w:b/>
          <w:bCs/>
          <w:sz w:val="20"/>
          <w:szCs w:val="20"/>
          <w:lang w:val="es-CL"/>
        </w:rPr>
      </w:pPr>
      <w:r>
        <w:rPr>
          <w:rFonts w:ascii="Verdana" w:hAnsi="Verdana"/>
          <w:b/>
          <w:bCs/>
          <w:sz w:val="20"/>
          <w:szCs w:val="20"/>
          <w:lang w:val="es-CL"/>
        </w:rPr>
        <w:t>Evidencia N° 7</w:t>
      </w:r>
    </w:p>
    <w:p w14:paraId="7FB6C114" w14:textId="77777777" w:rsidR="00051392" w:rsidRPr="00051392" w:rsidRDefault="00051392" w:rsidP="00051392">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Verdana" w:hAnsi="Verdana"/>
          <w:sz w:val="20"/>
          <w:szCs w:val="20"/>
          <w:lang w:val="es-CL"/>
        </w:rPr>
      </w:pPr>
      <w:proofErr w:type="spellStart"/>
      <w:r w:rsidRPr="00051392">
        <w:rPr>
          <w:rFonts w:ascii="Verdana" w:hAnsi="Verdana"/>
          <w:i/>
          <w:iCs/>
          <w:sz w:val="20"/>
          <w:szCs w:val="20"/>
          <w:u w:val="single"/>
          <w:lang w:val="es-CL"/>
        </w:rPr>
        <w:t>Dracón</w:t>
      </w:r>
      <w:proofErr w:type="spellEnd"/>
      <w:r w:rsidRPr="00051392">
        <w:rPr>
          <w:rFonts w:ascii="Verdana" w:hAnsi="Verdana"/>
          <w:i/>
          <w:sz w:val="20"/>
          <w:szCs w:val="20"/>
          <w:lang w:val="es-CL"/>
        </w:rPr>
        <w:t xml:space="preserve"> </w:t>
      </w:r>
      <w:r w:rsidRPr="00051392">
        <w:rPr>
          <w:rFonts w:ascii="Verdana" w:hAnsi="Verdana"/>
          <w:sz w:val="20"/>
          <w:szCs w:val="20"/>
          <w:lang w:val="es-CL"/>
        </w:rPr>
        <w:t xml:space="preserve">redactó por primera vez un código de leyes escritas, las que se caracterizaron por su gran severidad. Antes, las leyes eran orales y estaban sometidas a la interpretación exclusiva de los </w:t>
      </w:r>
      <w:proofErr w:type="spellStart"/>
      <w:r w:rsidRPr="00051392">
        <w:rPr>
          <w:rFonts w:ascii="Verdana" w:hAnsi="Verdana"/>
          <w:iCs/>
          <w:sz w:val="20"/>
          <w:szCs w:val="20"/>
          <w:lang w:val="es-CL"/>
        </w:rPr>
        <w:t>eupátridas</w:t>
      </w:r>
      <w:proofErr w:type="spellEnd"/>
      <w:r w:rsidRPr="00051392">
        <w:rPr>
          <w:rFonts w:ascii="Verdana" w:hAnsi="Verdana"/>
          <w:sz w:val="20"/>
          <w:szCs w:val="20"/>
          <w:lang w:val="es-CL"/>
        </w:rPr>
        <w:t xml:space="preserve">. </w:t>
      </w:r>
      <w:r w:rsidRPr="00051392">
        <w:rPr>
          <w:rFonts w:ascii="Verdana" w:hAnsi="Verdana"/>
          <w:i/>
          <w:iCs/>
          <w:sz w:val="20"/>
          <w:szCs w:val="20"/>
          <w:u w:val="single"/>
          <w:lang w:val="es-CL"/>
        </w:rPr>
        <w:t>Solón</w:t>
      </w:r>
      <w:r w:rsidRPr="00051392">
        <w:rPr>
          <w:rFonts w:ascii="Verdana" w:hAnsi="Verdana"/>
          <w:sz w:val="20"/>
          <w:szCs w:val="20"/>
          <w:lang w:val="es-CL"/>
        </w:rPr>
        <w:t xml:space="preserve"> redactó un nuevo código con el que abolió las deudas de los pequeños agricultores y prohibió la esclavitud por endeudamiento. Además, creó el Consejo de ciudadanos (</w:t>
      </w:r>
      <w:proofErr w:type="spellStart"/>
      <w:r w:rsidRPr="00051392">
        <w:rPr>
          <w:rFonts w:ascii="Verdana" w:hAnsi="Verdana"/>
          <w:iCs/>
          <w:sz w:val="20"/>
          <w:szCs w:val="20"/>
          <w:lang w:val="es-CL"/>
        </w:rPr>
        <w:t>Bulé</w:t>
      </w:r>
      <w:proofErr w:type="spellEnd"/>
      <w:r w:rsidRPr="00051392">
        <w:rPr>
          <w:rFonts w:ascii="Verdana" w:hAnsi="Verdana"/>
          <w:sz w:val="20"/>
          <w:szCs w:val="20"/>
          <w:lang w:val="es-CL"/>
        </w:rPr>
        <w:t>) y el Tribunal popular (</w:t>
      </w:r>
      <w:proofErr w:type="spellStart"/>
      <w:r w:rsidRPr="00051392">
        <w:rPr>
          <w:rFonts w:ascii="Verdana" w:hAnsi="Verdana"/>
          <w:iCs/>
          <w:sz w:val="20"/>
          <w:szCs w:val="20"/>
          <w:lang w:val="es-CL"/>
        </w:rPr>
        <w:t>Heleia</w:t>
      </w:r>
      <w:proofErr w:type="spellEnd"/>
      <w:r w:rsidRPr="00051392">
        <w:rPr>
          <w:rFonts w:ascii="Verdana" w:hAnsi="Verdana"/>
          <w:sz w:val="20"/>
          <w:szCs w:val="20"/>
          <w:lang w:val="es-CL"/>
        </w:rPr>
        <w:t xml:space="preserve">). Con estos cambios se amplió la participación en los asuntos públicos, generalmente de los ciudadanos más ricos, lo que creó una plutocracia. Un conjunto de transformaciones sociales y económicas condujeron a la aparición de tiranías o gobiernos ilegítimos. Uno de ellos fue el liderado por </w:t>
      </w:r>
      <w:proofErr w:type="spellStart"/>
      <w:r w:rsidRPr="00051392">
        <w:rPr>
          <w:rFonts w:ascii="Verdana" w:hAnsi="Verdana"/>
          <w:i/>
          <w:iCs/>
          <w:sz w:val="20"/>
          <w:szCs w:val="20"/>
          <w:u w:val="single"/>
          <w:lang w:val="es-CL"/>
        </w:rPr>
        <w:t>Pisístrato</w:t>
      </w:r>
      <w:proofErr w:type="spellEnd"/>
      <w:r w:rsidRPr="00051392">
        <w:rPr>
          <w:rFonts w:ascii="Verdana" w:hAnsi="Verdana"/>
          <w:sz w:val="20"/>
          <w:szCs w:val="20"/>
          <w:lang w:val="es-CL"/>
        </w:rPr>
        <w:t>, quien repartió tierras entre los campesinos y emprendió numerosas obras públicas. Su gobierno se encaminó a liderar importantes reformas políticas. Sin embargo, murió antes de poder concretarlas (Historia, Geografía y Ciencias Sociales, Texto del Estudiante, 7º básico, Editorial SM, p. 76).</w:t>
      </w:r>
    </w:p>
    <w:p w14:paraId="13B326A8" w14:textId="77777777" w:rsidR="00051392" w:rsidRPr="005E7E4B" w:rsidRDefault="00051392" w:rsidP="003D1236">
      <w:pPr>
        <w:pStyle w:val="Sinespaciado"/>
        <w:spacing w:line="360" w:lineRule="auto"/>
        <w:jc w:val="both"/>
        <w:rPr>
          <w:rFonts w:ascii="Verdana" w:hAnsi="Verdana"/>
          <w:sz w:val="20"/>
          <w:szCs w:val="20"/>
          <w:lang w:val="es-CL"/>
        </w:rPr>
      </w:pPr>
    </w:p>
    <w:p w14:paraId="1C118232" w14:textId="58A2C7CC" w:rsidR="00AF392D" w:rsidRPr="00CF1FC9" w:rsidRDefault="00D939C0" w:rsidP="00E64CA1">
      <w:pPr>
        <w:pStyle w:val="Sinespaciado"/>
        <w:spacing w:line="360" w:lineRule="auto"/>
        <w:jc w:val="both"/>
        <w:rPr>
          <w:rFonts w:ascii="Verdana" w:hAnsi="Verdana"/>
          <w:color w:val="FF0000"/>
          <w:sz w:val="20"/>
          <w:szCs w:val="20"/>
          <w:lang w:val="es-CL"/>
        </w:rPr>
      </w:pPr>
      <w:r w:rsidRPr="00CF1FC9">
        <w:rPr>
          <w:rFonts w:ascii="Verdana" w:hAnsi="Verdana"/>
          <w:sz w:val="20"/>
          <w:szCs w:val="20"/>
          <w:lang w:val="es-CL"/>
        </w:rPr>
        <w:t>En este párrafo se destaca</w:t>
      </w:r>
      <w:r w:rsidR="00680F80">
        <w:rPr>
          <w:rFonts w:ascii="Verdana" w:hAnsi="Verdana"/>
          <w:sz w:val="20"/>
          <w:szCs w:val="20"/>
          <w:lang w:val="es-CL"/>
        </w:rPr>
        <w:t>,</w:t>
      </w:r>
      <w:r w:rsidR="007F3B97" w:rsidRPr="00CF1FC9">
        <w:rPr>
          <w:rFonts w:ascii="Verdana" w:hAnsi="Verdana"/>
          <w:sz w:val="20"/>
          <w:szCs w:val="20"/>
          <w:lang w:val="es-CL"/>
        </w:rPr>
        <w:t xml:space="preserve"> </w:t>
      </w:r>
      <w:r w:rsidR="00680F80">
        <w:rPr>
          <w:rFonts w:ascii="Verdana" w:hAnsi="Verdana"/>
          <w:sz w:val="20"/>
          <w:szCs w:val="20"/>
          <w:lang w:val="es-CL"/>
        </w:rPr>
        <w:t>de</w:t>
      </w:r>
      <w:r w:rsidR="007F3B97" w:rsidRPr="00CF1FC9">
        <w:rPr>
          <w:rFonts w:ascii="Verdana" w:hAnsi="Verdana"/>
          <w:sz w:val="20"/>
          <w:szCs w:val="20"/>
          <w:lang w:val="es-CL"/>
        </w:rPr>
        <w:t xml:space="preserve"> forma individual y nominada</w:t>
      </w:r>
      <w:r w:rsidR="00680F80">
        <w:rPr>
          <w:rFonts w:ascii="Verdana" w:hAnsi="Verdana"/>
          <w:sz w:val="20"/>
          <w:szCs w:val="20"/>
          <w:lang w:val="es-CL"/>
        </w:rPr>
        <w:t>,</w:t>
      </w:r>
      <w:r w:rsidRPr="00CF1FC9">
        <w:rPr>
          <w:rFonts w:ascii="Verdana" w:hAnsi="Verdana"/>
          <w:sz w:val="20"/>
          <w:szCs w:val="20"/>
          <w:lang w:val="es-CL"/>
        </w:rPr>
        <w:t xml:space="preserve"> el protagonismo de los grandes reformadores de Atenas y sus respectivos aportes </w:t>
      </w:r>
      <w:r w:rsidR="00971F33" w:rsidRPr="00CF1FC9">
        <w:rPr>
          <w:rFonts w:ascii="Verdana" w:hAnsi="Verdana"/>
          <w:sz w:val="20"/>
          <w:szCs w:val="20"/>
          <w:lang w:val="es-CL"/>
        </w:rPr>
        <w:t>en</w:t>
      </w:r>
      <w:r w:rsidRPr="00CF1FC9">
        <w:rPr>
          <w:rFonts w:ascii="Verdana" w:hAnsi="Verdana"/>
          <w:sz w:val="20"/>
          <w:szCs w:val="20"/>
          <w:lang w:val="es-CL"/>
        </w:rPr>
        <w:t xml:space="preserve"> la conformación democrática de </w:t>
      </w:r>
      <w:r w:rsidR="00112CEB" w:rsidRPr="00CF1FC9">
        <w:rPr>
          <w:rFonts w:ascii="Verdana" w:hAnsi="Verdana"/>
          <w:sz w:val="20"/>
          <w:szCs w:val="20"/>
          <w:lang w:val="es-CL"/>
        </w:rPr>
        <w:t xml:space="preserve">dicha </w:t>
      </w:r>
      <w:r w:rsidR="002D3C90" w:rsidRPr="00CF1FC9">
        <w:rPr>
          <w:rFonts w:ascii="Verdana" w:hAnsi="Verdana"/>
          <w:sz w:val="20"/>
          <w:szCs w:val="20"/>
          <w:lang w:val="es-CL"/>
        </w:rPr>
        <w:t>ciudad</w:t>
      </w:r>
      <w:r w:rsidRPr="00CF1FC9">
        <w:rPr>
          <w:rFonts w:ascii="Verdana" w:hAnsi="Verdana"/>
          <w:sz w:val="20"/>
          <w:szCs w:val="20"/>
          <w:lang w:val="es-CL"/>
        </w:rPr>
        <w:t>;</w:t>
      </w:r>
      <w:r w:rsidR="00735CCE" w:rsidRPr="00CF1FC9">
        <w:rPr>
          <w:rFonts w:ascii="Verdana" w:hAnsi="Verdana"/>
          <w:sz w:val="20"/>
          <w:szCs w:val="20"/>
          <w:lang w:val="es-CL"/>
        </w:rPr>
        <w:t xml:space="preserve"> no obstante</w:t>
      </w:r>
      <w:r w:rsidRPr="00CF1FC9">
        <w:rPr>
          <w:rFonts w:ascii="Verdana" w:hAnsi="Verdana"/>
          <w:sz w:val="20"/>
          <w:szCs w:val="20"/>
          <w:lang w:val="es-CL"/>
        </w:rPr>
        <w:t xml:space="preserve">, se suprime </w:t>
      </w:r>
      <w:r w:rsidR="0069507C" w:rsidRPr="00CF1FC9">
        <w:rPr>
          <w:rFonts w:ascii="Verdana" w:hAnsi="Verdana"/>
          <w:sz w:val="20"/>
          <w:szCs w:val="20"/>
          <w:lang w:val="es-CL"/>
        </w:rPr>
        <w:t>la actuación de las figuras femeninas</w:t>
      </w:r>
      <w:r w:rsidR="00D00F81" w:rsidRPr="00CF1FC9">
        <w:rPr>
          <w:rFonts w:ascii="Verdana" w:hAnsi="Verdana"/>
          <w:sz w:val="20"/>
          <w:szCs w:val="20"/>
          <w:lang w:val="es-CL"/>
        </w:rPr>
        <w:t>,</w:t>
      </w:r>
      <w:r w:rsidR="00D00F81" w:rsidRPr="00CF1FC9">
        <w:rPr>
          <w:rFonts w:ascii="Verdana" w:hAnsi="Verdana"/>
          <w:sz w:val="20"/>
          <w:szCs w:val="20"/>
        </w:rPr>
        <w:t xml:space="preserve"> </w:t>
      </w:r>
      <w:r w:rsidR="00D00F81" w:rsidRPr="00CF1FC9">
        <w:rPr>
          <w:rFonts w:ascii="Verdana" w:hAnsi="Verdana"/>
          <w:sz w:val="20"/>
          <w:szCs w:val="20"/>
          <w:lang w:val="es-CL"/>
        </w:rPr>
        <w:t>tales como la poet</w:t>
      </w:r>
      <w:r w:rsidR="002B4BEC" w:rsidRPr="00CF1FC9">
        <w:rPr>
          <w:rFonts w:ascii="Verdana" w:hAnsi="Verdana"/>
          <w:sz w:val="20"/>
          <w:szCs w:val="20"/>
          <w:lang w:val="es-CL"/>
        </w:rPr>
        <w:t>isa</w:t>
      </w:r>
      <w:r w:rsidR="00D00F81" w:rsidRPr="00CF1FC9">
        <w:rPr>
          <w:rFonts w:ascii="Verdana" w:hAnsi="Verdana"/>
          <w:sz w:val="20"/>
          <w:szCs w:val="20"/>
          <w:lang w:val="es-CL"/>
        </w:rPr>
        <w:t xml:space="preserve"> </w:t>
      </w:r>
      <w:proofErr w:type="spellStart"/>
      <w:r w:rsidR="00D00F81" w:rsidRPr="00CF1FC9">
        <w:rPr>
          <w:rFonts w:ascii="Verdana" w:hAnsi="Verdana"/>
          <w:sz w:val="20"/>
          <w:szCs w:val="20"/>
          <w:lang w:val="es-CL"/>
        </w:rPr>
        <w:lastRenderedPageBreak/>
        <w:t>Safo</w:t>
      </w:r>
      <w:proofErr w:type="spellEnd"/>
      <w:r w:rsidR="00D00F81" w:rsidRPr="00CF1FC9">
        <w:rPr>
          <w:rFonts w:ascii="Verdana" w:hAnsi="Verdana"/>
          <w:sz w:val="20"/>
          <w:szCs w:val="20"/>
          <w:lang w:val="es-CL"/>
        </w:rPr>
        <w:t xml:space="preserve"> de Mitilene, la filósofa </w:t>
      </w:r>
      <w:proofErr w:type="spellStart"/>
      <w:r w:rsidR="00D00F81" w:rsidRPr="00CF1FC9">
        <w:rPr>
          <w:rFonts w:ascii="Verdana" w:hAnsi="Verdana"/>
          <w:sz w:val="20"/>
          <w:szCs w:val="20"/>
          <w:lang w:val="es-CL"/>
        </w:rPr>
        <w:t>Téano</w:t>
      </w:r>
      <w:proofErr w:type="spellEnd"/>
      <w:r w:rsidR="00D00F81" w:rsidRPr="00CF1FC9">
        <w:rPr>
          <w:rFonts w:ascii="Verdana" w:hAnsi="Verdana"/>
          <w:sz w:val="20"/>
          <w:szCs w:val="20"/>
          <w:lang w:val="es-CL"/>
        </w:rPr>
        <w:t xml:space="preserve"> de Crotona</w:t>
      </w:r>
      <w:r w:rsidR="00355C0E" w:rsidRPr="00CF1FC9">
        <w:rPr>
          <w:rFonts w:ascii="Verdana" w:hAnsi="Verdana"/>
          <w:sz w:val="20"/>
          <w:szCs w:val="20"/>
          <w:lang w:val="es-CL"/>
        </w:rPr>
        <w:t xml:space="preserve"> y</w:t>
      </w:r>
      <w:r w:rsidR="00D00F81" w:rsidRPr="00CF1FC9">
        <w:rPr>
          <w:rFonts w:ascii="Verdana" w:hAnsi="Verdana"/>
          <w:sz w:val="20"/>
          <w:szCs w:val="20"/>
          <w:lang w:val="es-CL"/>
        </w:rPr>
        <w:t xml:space="preserve"> la intelectual </w:t>
      </w:r>
      <w:proofErr w:type="spellStart"/>
      <w:r w:rsidR="00D00F81" w:rsidRPr="00CF1FC9">
        <w:rPr>
          <w:rFonts w:ascii="Verdana" w:hAnsi="Verdana"/>
          <w:sz w:val="20"/>
          <w:szCs w:val="20"/>
          <w:lang w:val="es-CL"/>
        </w:rPr>
        <w:t>Aspasia</w:t>
      </w:r>
      <w:proofErr w:type="spellEnd"/>
      <w:r w:rsidR="00D00F81" w:rsidRPr="00CF1FC9">
        <w:rPr>
          <w:rFonts w:ascii="Verdana" w:hAnsi="Verdana"/>
          <w:sz w:val="20"/>
          <w:szCs w:val="20"/>
          <w:lang w:val="es-CL"/>
        </w:rPr>
        <w:t xml:space="preserve"> de Mileto,</w:t>
      </w:r>
      <w:r w:rsidR="004E17A0" w:rsidRPr="00CF1FC9">
        <w:rPr>
          <w:rFonts w:ascii="Verdana" w:hAnsi="Verdana"/>
          <w:sz w:val="20"/>
          <w:szCs w:val="20"/>
          <w:lang w:val="es-CL"/>
        </w:rPr>
        <w:t xml:space="preserve"> que aportaron</w:t>
      </w:r>
      <w:r w:rsidR="0069507C" w:rsidRPr="00CF1FC9">
        <w:rPr>
          <w:rFonts w:ascii="Verdana" w:hAnsi="Verdana"/>
          <w:sz w:val="20"/>
          <w:szCs w:val="20"/>
          <w:lang w:val="es-CL"/>
        </w:rPr>
        <w:t xml:space="preserve"> a</w:t>
      </w:r>
      <w:r w:rsidR="00971F33" w:rsidRPr="00CF1FC9">
        <w:rPr>
          <w:rFonts w:ascii="Verdana" w:hAnsi="Verdana"/>
          <w:sz w:val="20"/>
          <w:szCs w:val="20"/>
          <w:lang w:val="es-CL"/>
        </w:rPr>
        <w:t>l auge intelectual</w:t>
      </w:r>
      <w:r w:rsidR="00CF1FC9" w:rsidRPr="00CF1FC9">
        <w:rPr>
          <w:rFonts w:ascii="Verdana" w:hAnsi="Verdana"/>
          <w:sz w:val="20"/>
          <w:szCs w:val="20"/>
          <w:lang w:val="es-CL"/>
        </w:rPr>
        <w:t xml:space="preserve"> y político</w:t>
      </w:r>
      <w:r w:rsidR="0069507C" w:rsidRPr="00CF1FC9">
        <w:rPr>
          <w:rFonts w:ascii="Verdana" w:hAnsi="Verdana"/>
          <w:sz w:val="20"/>
          <w:szCs w:val="20"/>
          <w:lang w:val="es-CL"/>
        </w:rPr>
        <w:t xml:space="preserve"> de la </w:t>
      </w:r>
      <w:r w:rsidR="00C40FF3" w:rsidRPr="00CF1FC9">
        <w:rPr>
          <w:rFonts w:ascii="Verdana" w:hAnsi="Verdana"/>
          <w:sz w:val="20"/>
          <w:szCs w:val="20"/>
          <w:lang w:val="es-CL"/>
        </w:rPr>
        <w:t>sociedad</w:t>
      </w:r>
      <w:r w:rsidR="0069507C" w:rsidRPr="00CF1FC9">
        <w:rPr>
          <w:rFonts w:ascii="Verdana" w:hAnsi="Verdana"/>
          <w:sz w:val="20"/>
          <w:szCs w:val="20"/>
          <w:lang w:val="es-CL"/>
        </w:rPr>
        <w:t xml:space="preserve"> ateniense.</w:t>
      </w:r>
      <w:r w:rsidR="00016B7A" w:rsidRPr="00CF1FC9">
        <w:rPr>
          <w:rFonts w:ascii="Verdana" w:hAnsi="Verdana"/>
          <w:sz w:val="20"/>
          <w:szCs w:val="20"/>
        </w:rPr>
        <w:t xml:space="preserve"> </w:t>
      </w:r>
      <w:r w:rsidR="004E17A0" w:rsidRPr="00CF1FC9">
        <w:rPr>
          <w:rFonts w:ascii="Verdana" w:hAnsi="Verdana"/>
          <w:sz w:val="20"/>
          <w:szCs w:val="20"/>
        </w:rPr>
        <w:t>Al respecto</w:t>
      </w:r>
      <w:r w:rsidR="00B1786D" w:rsidRPr="00CF1FC9">
        <w:rPr>
          <w:rFonts w:ascii="Verdana" w:hAnsi="Verdana"/>
          <w:sz w:val="20"/>
          <w:szCs w:val="20"/>
        </w:rPr>
        <w:t xml:space="preserve">, cabe destacar </w:t>
      </w:r>
      <w:r w:rsidR="004E17A0" w:rsidRPr="00CF1FC9">
        <w:rPr>
          <w:rFonts w:ascii="Verdana" w:hAnsi="Verdana"/>
          <w:sz w:val="20"/>
          <w:szCs w:val="20"/>
        </w:rPr>
        <w:t>que, aunque</w:t>
      </w:r>
      <w:r w:rsidR="005E7E4B" w:rsidRPr="00CF1FC9">
        <w:rPr>
          <w:rFonts w:ascii="Verdana" w:hAnsi="Verdana"/>
          <w:sz w:val="20"/>
          <w:szCs w:val="20"/>
        </w:rPr>
        <w:t xml:space="preserve"> dichas</w:t>
      </w:r>
      <w:r w:rsidR="00B1786D" w:rsidRPr="00CF1FC9">
        <w:rPr>
          <w:rFonts w:ascii="Verdana" w:hAnsi="Verdana"/>
          <w:sz w:val="20"/>
          <w:szCs w:val="20"/>
        </w:rPr>
        <w:t xml:space="preserve"> menciones </w:t>
      </w:r>
      <w:r w:rsidR="004E17A0" w:rsidRPr="00CF1FC9">
        <w:rPr>
          <w:rFonts w:ascii="Verdana" w:hAnsi="Verdana"/>
          <w:sz w:val="20"/>
          <w:szCs w:val="20"/>
        </w:rPr>
        <w:t>no resuelven el problema,</w:t>
      </w:r>
      <w:r w:rsidR="00B1786D" w:rsidRPr="00CF1FC9">
        <w:rPr>
          <w:rFonts w:ascii="Verdana" w:hAnsi="Verdana"/>
          <w:sz w:val="20"/>
          <w:szCs w:val="20"/>
        </w:rPr>
        <w:t xml:space="preserve"> contribuyen a la configuración de una memoria </w:t>
      </w:r>
      <w:r w:rsidR="00CF1FC9" w:rsidRPr="00CF1FC9">
        <w:rPr>
          <w:rFonts w:ascii="Verdana" w:hAnsi="Verdana"/>
          <w:sz w:val="20"/>
          <w:szCs w:val="20"/>
        </w:rPr>
        <w:t>histórica</w:t>
      </w:r>
      <w:r w:rsidR="00C14199" w:rsidRPr="00CF1FC9">
        <w:rPr>
          <w:rFonts w:ascii="Verdana" w:hAnsi="Verdana"/>
          <w:sz w:val="20"/>
          <w:szCs w:val="20"/>
        </w:rPr>
        <w:t xml:space="preserve"> </w:t>
      </w:r>
      <w:r w:rsidR="00B1786D" w:rsidRPr="00CF1FC9">
        <w:rPr>
          <w:rFonts w:ascii="Verdana" w:hAnsi="Verdana"/>
          <w:sz w:val="20"/>
          <w:szCs w:val="20"/>
        </w:rPr>
        <w:t>más completa sobre las identidades femeninas que participa</w:t>
      </w:r>
      <w:r w:rsidR="00735CCE" w:rsidRPr="00CF1FC9">
        <w:rPr>
          <w:rFonts w:ascii="Verdana" w:hAnsi="Verdana"/>
          <w:sz w:val="20"/>
          <w:szCs w:val="20"/>
        </w:rPr>
        <w:t>ron en la Grecia y Roma Antigua; s</w:t>
      </w:r>
      <w:r w:rsidR="00E72EE6" w:rsidRPr="00CF1FC9">
        <w:rPr>
          <w:rFonts w:ascii="Verdana" w:hAnsi="Verdana"/>
          <w:sz w:val="20"/>
          <w:szCs w:val="20"/>
        </w:rPr>
        <w:t xml:space="preserve">in embargo, </w:t>
      </w:r>
      <w:r w:rsidR="00264020" w:rsidRPr="00CF1FC9">
        <w:rPr>
          <w:rFonts w:ascii="Verdana" w:hAnsi="Verdana"/>
          <w:sz w:val="20"/>
          <w:szCs w:val="20"/>
        </w:rPr>
        <w:t xml:space="preserve">este </w:t>
      </w:r>
      <w:r w:rsidR="00F91296" w:rsidRPr="00CF1FC9">
        <w:rPr>
          <w:rFonts w:ascii="Verdana" w:hAnsi="Verdana"/>
          <w:sz w:val="20"/>
          <w:szCs w:val="20"/>
        </w:rPr>
        <w:t xml:space="preserve">reconocimiento </w:t>
      </w:r>
      <w:r w:rsidR="00C14199" w:rsidRPr="00CF1FC9">
        <w:rPr>
          <w:rFonts w:ascii="Verdana" w:hAnsi="Verdana"/>
          <w:sz w:val="20"/>
          <w:szCs w:val="20"/>
        </w:rPr>
        <w:t>se ve obstaculizado</w:t>
      </w:r>
      <w:r w:rsidR="00264020" w:rsidRPr="00CF1FC9">
        <w:rPr>
          <w:rFonts w:ascii="Verdana" w:hAnsi="Verdana"/>
          <w:sz w:val="20"/>
          <w:szCs w:val="20"/>
        </w:rPr>
        <w:t xml:space="preserve"> por el </w:t>
      </w:r>
      <w:r w:rsidR="00E72EE6" w:rsidRPr="00CF1FC9">
        <w:rPr>
          <w:rFonts w:ascii="Verdana" w:hAnsi="Verdana"/>
          <w:sz w:val="20"/>
          <w:szCs w:val="20"/>
        </w:rPr>
        <w:t>androc</w:t>
      </w:r>
      <w:r w:rsidR="00264020" w:rsidRPr="00CF1FC9">
        <w:rPr>
          <w:rFonts w:ascii="Verdana" w:hAnsi="Verdana"/>
          <w:sz w:val="20"/>
          <w:szCs w:val="20"/>
        </w:rPr>
        <w:t>entrismo presente</w:t>
      </w:r>
      <w:r w:rsidR="00F56E14" w:rsidRPr="00CF1FC9">
        <w:rPr>
          <w:rFonts w:ascii="Verdana" w:hAnsi="Verdana"/>
          <w:sz w:val="20"/>
          <w:szCs w:val="20"/>
        </w:rPr>
        <w:t xml:space="preserve"> en la evidencia</w:t>
      </w:r>
      <w:r w:rsidR="00E72EE6" w:rsidRPr="00CF1FC9">
        <w:rPr>
          <w:rFonts w:ascii="Verdana" w:hAnsi="Verdana"/>
          <w:sz w:val="20"/>
          <w:szCs w:val="20"/>
        </w:rPr>
        <w:t>, puesto que</w:t>
      </w:r>
      <w:r w:rsidR="0081648E" w:rsidRPr="00CF1FC9">
        <w:rPr>
          <w:rFonts w:ascii="Verdana" w:hAnsi="Verdana"/>
          <w:sz w:val="20"/>
          <w:szCs w:val="20"/>
        </w:rPr>
        <w:t>, siguiendo a Trujillo (2020),</w:t>
      </w:r>
      <w:r w:rsidR="006A2D37" w:rsidRPr="00CF1FC9">
        <w:rPr>
          <w:rFonts w:ascii="Verdana" w:hAnsi="Verdana"/>
          <w:sz w:val="20"/>
          <w:szCs w:val="20"/>
        </w:rPr>
        <w:t xml:space="preserve"> pone en evidencia a Grecia como la cuna del patriarcado </w:t>
      </w:r>
      <w:r w:rsidR="0081648E" w:rsidRPr="00CF1FC9">
        <w:rPr>
          <w:rFonts w:ascii="Verdana" w:hAnsi="Verdana"/>
          <w:sz w:val="20"/>
          <w:szCs w:val="20"/>
        </w:rPr>
        <w:t xml:space="preserve">impuesto </w:t>
      </w:r>
      <w:r w:rsidR="006A2D37" w:rsidRPr="00CF1FC9">
        <w:rPr>
          <w:rFonts w:ascii="Verdana" w:hAnsi="Verdana"/>
          <w:sz w:val="20"/>
          <w:szCs w:val="20"/>
        </w:rPr>
        <w:t xml:space="preserve">en Occidente </w:t>
      </w:r>
      <w:r w:rsidR="004E17A0" w:rsidRPr="00CF1FC9">
        <w:rPr>
          <w:rFonts w:ascii="Verdana" w:hAnsi="Verdana"/>
          <w:sz w:val="20"/>
          <w:szCs w:val="20"/>
        </w:rPr>
        <w:t>y refuerza la marginación</w:t>
      </w:r>
      <w:r w:rsidR="00A2706B" w:rsidRPr="00CF1FC9">
        <w:rPr>
          <w:rFonts w:ascii="Verdana" w:hAnsi="Verdana"/>
          <w:sz w:val="20"/>
          <w:szCs w:val="20"/>
        </w:rPr>
        <w:t xml:space="preserve"> de la mujer en el discurso de los textos escolares de Historia, Geografía y Ciencias Sociales.</w:t>
      </w:r>
    </w:p>
    <w:p w14:paraId="293B6265" w14:textId="77777777" w:rsidR="00E64CA1" w:rsidRPr="00E64CA1" w:rsidRDefault="00E64CA1" w:rsidP="00E64CA1">
      <w:pPr>
        <w:pStyle w:val="Sinespaciado"/>
        <w:spacing w:line="360" w:lineRule="auto"/>
        <w:jc w:val="both"/>
        <w:rPr>
          <w:rFonts w:ascii="Verdana" w:hAnsi="Verdana"/>
          <w:color w:val="FF0000"/>
          <w:sz w:val="20"/>
          <w:szCs w:val="20"/>
          <w:lang w:val="es-CL"/>
        </w:rPr>
      </w:pPr>
    </w:p>
    <w:p w14:paraId="4980E701" w14:textId="598C6CD0" w:rsidR="00C40FF3" w:rsidRPr="00CF1FC9" w:rsidRDefault="002B21F6" w:rsidP="003D1236">
      <w:pPr>
        <w:pStyle w:val="Sinespaciado"/>
        <w:spacing w:line="360" w:lineRule="auto"/>
        <w:jc w:val="both"/>
        <w:rPr>
          <w:rFonts w:ascii="Verdana" w:hAnsi="Verdana"/>
          <w:bCs/>
          <w:sz w:val="20"/>
          <w:szCs w:val="20"/>
          <w:lang w:val="es-CL"/>
        </w:rPr>
      </w:pPr>
      <w:r w:rsidRPr="00BF3F34">
        <w:rPr>
          <w:rFonts w:ascii="Verdana" w:hAnsi="Verdana"/>
          <w:b/>
          <w:bCs/>
          <w:sz w:val="20"/>
          <w:szCs w:val="20"/>
          <w:lang w:val="es-CL"/>
        </w:rPr>
        <w:t xml:space="preserve">Categoría: </w:t>
      </w:r>
      <w:r w:rsidRPr="00CF1FC9">
        <w:rPr>
          <w:rFonts w:ascii="Verdana" w:hAnsi="Verdana"/>
          <w:bCs/>
          <w:sz w:val="20"/>
          <w:szCs w:val="20"/>
          <w:lang w:val="es-CL"/>
        </w:rPr>
        <w:t>Androcentrismo;</w:t>
      </w:r>
      <w:r w:rsidRPr="00BF3F34">
        <w:rPr>
          <w:rFonts w:ascii="Verdana" w:hAnsi="Verdana"/>
          <w:b/>
          <w:bCs/>
          <w:sz w:val="20"/>
          <w:szCs w:val="20"/>
          <w:lang w:val="es-CL"/>
        </w:rPr>
        <w:t xml:space="preserve"> Subcategoría</w:t>
      </w:r>
      <w:r w:rsidR="00AE671F">
        <w:rPr>
          <w:rFonts w:ascii="Verdana" w:hAnsi="Verdana"/>
          <w:b/>
          <w:bCs/>
          <w:sz w:val="20"/>
          <w:szCs w:val="20"/>
          <w:lang w:val="es-CL"/>
        </w:rPr>
        <w:t xml:space="preserve"> 6</w:t>
      </w:r>
      <w:r w:rsidRPr="00BF3F34">
        <w:rPr>
          <w:rFonts w:ascii="Verdana" w:hAnsi="Verdana"/>
          <w:b/>
          <w:bCs/>
          <w:sz w:val="20"/>
          <w:szCs w:val="20"/>
          <w:lang w:val="es-CL"/>
        </w:rPr>
        <w:t xml:space="preserve">: </w:t>
      </w:r>
      <w:r w:rsidRPr="00CF1FC9">
        <w:rPr>
          <w:rFonts w:ascii="Verdana" w:hAnsi="Verdana"/>
          <w:bCs/>
          <w:sz w:val="20"/>
          <w:szCs w:val="20"/>
          <w:lang w:val="es-CL"/>
        </w:rPr>
        <w:t>P</w:t>
      </w:r>
      <w:r w:rsidR="00E57A0B" w:rsidRPr="00CF1FC9">
        <w:rPr>
          <w:rFonts w:ascii="Verdana" w:hAnsi="Verdana"/>
          <w:bCs/>
          <w:sz w:val="20"/>
          <w:szCs w:val="20"/>
          <w:lang w:val="es-CL"/>
        </w:rPr>
        <w:t>redominio de la p</w:t>
      </w:r>
      <w:r w:rsidR="00B67D8B" w:rsidRPr="00CF1FC9">
        <w:rPr>
          <w:rFonts w:ascii="Verdana" w:hAnsi="Verdana"/>
          <w:bCs/>
          <w:sz w:val="20"/>
          <w:szCs w:val="20"/>
          <w:lang w:val="es-CL"/>
        </w:rPr>
        <w:t xml:space="preserve">erspectiva </w:t>
      </w:r>
      <w:proofErr w:type="spellStart"/>
      <w:r w:rsidR="00B67D8B" w:rsidRPr="00CF1FC9">
        <w:rPr>
          <w:rFonts w:ascii="Verdana" w:hAnsi="Verdana"/>
          <w:bCs/>
          <w:sz w:val="20"/>
          <w:szCs w:val="20"/>
          <w:lang w:val="es-CL"/>
        </w:rPr>
        <w:t>adultocéntrica</w:t>
      </w:r>
      <w:proofErr w:type="spellEnd"/>
    </w:p>
    <w:p w14:paraId="3E29989E" w14:textId="2518C50C" w:rsidR="002B21F6" w:rsidRDefault="002B21F6" w:rsidP="003D1236">
      <w:pPr>
        <w:pStyle w:val="Sinespaciado"/>
        <w:spacing w:line="360" w:lineRule="auto"/>
        <w:jc w:val="both"/>
        <w:rPr>
          <w:rFonts w:ascii="Verdana" w:hAnsi="Verdana"/>
          <w:sz w:val="20"/>
          <w:szCs w:val="20"/>
          <w:lang w:val="es-CL"/>
        </w:rPr>
      </w:pPr>
    </w:p>
    <w:p w14:paraId="3D18D697" w14:textId="6CE1A018" w:rsidR="00051392" w:rsidRDefault="00051392" w:rsidP="00051392">
      <w:pPr>
        <w:pStyle w:val="Sinespaciado"/>
        <w:spacing w:line="360" w:lineRule="auto"/>
        <w:jc w:val="both"/>
        <w:rPr>
          <w:rFonts w:ascii="Verdana" w:hAnsi="Verdana"/>
          <w:b/>
          <w:bCs/>
          <w:sz w:val="20"/>
          <w:szCs w:val="20"/>
          <w:lang w:val="es-CL"/>
        </w:rPr>
      </w:pPr>
      <w:r>
        <w:rPr>
          <w:rFonts w:ascii="Verdana" w:hAnsi="Verdana"/>
          <w:b/>
          <w:bCs/>
          <w:sz w:val="20"/>
          <w:szCs w:val="20"/>
          <w:lang w:val="es-CL"/>
        </w:rPr>
        <w:t>Evidencia N° 8</w:t>
      </w:r>
    </w:p>
    <w:p w14:paraId="60DFDB8A" w14:textId="77777777" w:rsidR="00051392" w:rsidRPr="00051392" w:rsidRDefault="00051392" w:rsidP="00051392">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Verdana" w:hAnsi="Verdana"/>
          <w:sz w:val="20"/>
          <w:szCs w:val="20"/>
          <w:lang w:val="es-CL"/>
        </w:rPr>
      </w:pPr>
      <w:r w:rsidRPr="00051392">
        <w:rPr>
          <w:rFonts w:ascii="Verdana" w:hAnsi="Verdana"/>
          <w:sz w:val="20"/>
          <w:szCs w:val="20"/>
          <w:lang w:val="es-CL"/>
        </w:rPr>
        <w:t xml:space="preserve">Bajo el sistema democrático ateniense, </w:t>
      </w:r>
      <w:r w:rsidRPr="00051392">
        <w:rPr>
          <w:rFonts w:ascii="Verdana" w:hAnsi="Verdana"/>
          <w:i/>
          <w:iCs/>
          <w:sz w:val="20"/>
          <w:szCs w:val="20"/>
          <w:u w:val="single"/>
          <w:lang w:val="es-CL"/>
        </w:rPr>
        <w:t>solo los hombres libres mayores de 20 años eran considerados ciudadanos</w:t>
      </w:r>
      <w:r w:rsidRPr="00051392">
        <w:rPr>
          <w:rFonts w:ascii="Verdana" w:hAnsi="Verdana"/>
          <w:iCs/>
          <w:sz w:val="20"/>
          <w:szCs w:val="20"/>
          <w:lang w:val="es-CL"/>
        </w:rPr>
        <w:t xml:space="preserve"> </w:t>
      </w:r>
      <w:r w:rsidRPr="00051392">
        <w:rPr>
          <w:rFonts w:ascii="Verdana" w:hAnsi="Verdana"/>
          <w:sz w:val="20"/>
          <w:szCs w:val="20"/>
          <w:lang w:val="es-CL"/>
        </w:rPr>
        <w:t>y podían disfrutar de los derechos que esta condición otorgaba, quedando excluida la mayor parte de la población, prácticamente tres cuartos del total: todas las mujeres, los metecos (extranjeros) y los esclavos (Historia, Geografía y Ciencias Sociales, Texto del Estudiante, 7º básico, Editorial SM, p. 80).</w:t>
      </w:r>
    </w:p>
    <w:p w14:paraId="58F0AC4E" w14:textId="77777777" w:rsidR="00051392" w:rsidRDefault="00051392" w:rsidP="003D1236">
      <w:pPr>
        <w:pStyle w:val="Sinespaciado"/>
        <w:spacing w:line="360" w:lineRule="auto"/>
        <w:jc w:val="both"/>
        <w:rPr>
          <w:rFonts w:ascii="Verdana" w:hAnsi="Verdana"/>
          <w:sz w:val="20"/>
          <w:szCs w:val="20"/>
          <w:lang w:val="es-CL"/>
        </w:rPr>
      </w:pPr>
    </w:p>
    <w:p w14:paraId="57DA4904" w14:textId="7B2AE08E" w:rsidR="00814D5B" w:rsidRDefault="000212B3" w:rsidP="00AF392D">
      <w:pPr>
        <w:pStyle w:val="Sinespaciado"/>
        <w:spacing w:line="360" w:lineRule="auto"/>
        <w:jc w:val="both"/>
        <w:rPr>
          <w:rFonts w:ascii="Verdana" w:hAnsi="Verdana"/>
          <w:sz w:val="20"/>
          <w:szCs w:val="20"/>
        </w:rPr>
      </w:pPr>
      <w:r w:rsidRPr="00AF392D">
        <w:rPr>
          <w:rFonts w:ascii="Verdana" w:hAnsi="Verdana"/>
          <w:sz w:val="20"/>
          <w:szCs w:val="20"/>
        </w:rPr>
        <w:t>En est</w:t>
      </w:r>
      <w:r w:rsidR="00C018C3" w:rsidRPr="00AF392D">
        <w:rPr>
          <w:rFonts w:ascii="Verdana" w:hAnsi="Verdana"/>
          <w:sz w:val="20"/>
          <w:szCs w:val="20"/>
        </w:rPr>
        <w:t>a</w:t>
      </w:r>
      <w:r w:rsidRPr="00AF392D">
        <w:rPr>
          <w:rFonts w:ascii="Verdana" w:hAnsi="Verdana"/>
          <w:sz w:val="20"/>
          <w:szCs w:val="20"/>
        </w:rPr>
        <w:t xml:space="preserve"> </w:t>
      </w:r>
      <w:r w:rsidR="00C018C3" w:rsidRPr="00AF392D">
        <w:rPr>
          <w:rFonts w:ascii="Verdana" w:hAnsi="Verdana"/>
          <w:sz w:val="20"/>
          <w:szCs w:val="20"/>
        </w:rPr>
        <w:t>cita</w:t>
      </w:r>
      <w:r w:rsidRPr="00AF392D">
        <w:rPr>
          <w:rFonts w:ascii="Verdana" w:hAnsi="Verdana"/>
          <w:sz w:val="20"/>
          <w:szCs w:val="20"/>
        </w:rPr>
        <w:t xml:space="preserve"> se observa una perspectiva histórica </w:t>
      </w:r>
      <w:proofErr w:type="spellStart"/>
      <w:r w:rsidRPr="00AF392D">
        <w:rPr>
          <w:rFonts w:ascii="Verdana" w:hAnsi="Verdana"/>
          <w:sz w:val="20"/>
          <w:szCs w:val="20"/>
        </w:rPr>
        <w:t>adultoc</w:t>
      </w:r>
      <w:r w:rsidR="005E7E4B" w:rsidRPr="00AF392D">
        <w:rPr>
          <w:rFonts w:ascii="Verdana" w:hAnsi="Verdana"/>
          <w:sz w:val="20"/>
          <w:szCs w:val="20"/>
        </w:rPr>
        <w:t>éntrica</w:t>
      </w:r>
      <w:proofErr w:type="spellEnd"/>
      <w:r w:rsidRPr="00AF392D">
        <w:rPr>
          <w:rFonts w:ascii="Verdana" w:hAnsi="Verdana"/>
          <w:sz w:val="20"/>
          <w:szCs w:val="20"/>
        </w:rPr>
        <w:t xml:space="preserve"> que busca resaltar el papel de los hombres adultos libres</w:t>
      </w:r>
      <w:r w:rsidR="00E84E46" w:rsidRPr="00AF392D">
        <w:rPr>
          <w:rFonts w:ascii="Verdana" w:hAnsi="Verdana"/>
          <w:sz w:val="20"/>
          <w:szCs w:val="20"/>
        </w:rPr>
        <w:t xml:space="preserve"> en la democracia ateniense</w:t>
      </w:r>
      <w:r w:rsidR="00285C4D" w:rsidRPr="00AF392D">
        <w:rPr>
          <w:rFonts w:ascii="Verdana" w:hAnsi="Verdana"/>
          <w:sz w:val="20"/>
          <w:szCs w:val="20"/>
        </w:rPr>
        <w:t xml:space="preserve">. </w:t>
      </w:r>
      <w:r w:rsidR="003D24DE" w:rsidRPr="00AF392D">
        <w:rPr>
          <w:rFonts w:ascii="Verdana" w:hAnsi="Verdana"/>
          <w:sz w:val="20"/>
          <w:szCs w:val="20"/>
        </w:rPr>
        <w:t>Asimismo</w:t>
      </w:r>
      <w:r w:rsidR="00353F7B">
        <w:rPr>
          <w:rFonts w:ascii="Verdana" w:hAnsi="Verdana"/>
          <w:sz w:val="20"/>
          <w:szCs w:val="20"/>
        </w:rPr>
        <w:t xml:space="preserve">, cabe señalar </w:t>
      </w:r>
      <w:r w:rsidR="008D348C" w:rsidRPr="00AF392D">
        <w:rPr>
          <w:rFonts w:ascii="Verdana" w:hAnsi="Verdana"/>
          <w:sz w:val="20"/>
          <w:szCs w:val="20"/>
        </w:rPr>
        <w:t xml:space="preserve">que la </w:t>
      </w:r>
      <w:r w:rsidR="00C018C3" w:rsidRPr="00AF392D">
        <w:rPr>
          <w:rFonts w:ascii="Verdana" w:hAnsi="Verdana"/>
          <w:sz w:val="20"/>
          <w:szCs w:val="20"/>
        </w:rPr>
        <w:t>visión</w:t>
      </w:r>
      <w:r w:rsidR="008D348C" w:rsidRPr="00AF392D">
        <w:rPr>
          <w:rFonts w:ascii="Verdana" w:hAnsi="Verdana"/>
          <w:sz w:val="20"/>
          <w:szCs w:val="20"/>
        </w:rPr>
        <w:t xml:space="preserve"> expuesta responde a un enfoque cívico tradicional que </w:t>
      </w:r>
      <w:r w:rsidR="00EA4712" w:rsidRPr="00AF392D">
        <w:rPr>
          <w:rFonts w:ascii="Verdana" w:hAnsi="Verdana"/>
          <w:sz w:val="20"/>
          <w:szCs w:val="20"/>
        </w:rPr>
        <w:t>restringe</w:t>
      </w:r>
      <w:r w:rsidRPr="00AF392D">
        <w:rPr>
          <w:rFonts w:ascii="Verdana" w:hAnsi="Verdana"/>
          <w:sz w:val="20"/>
          <w:szCs w:val="20"/>
        </w:rPr>
        <w:t xml:space="preserve"> el concepto de ciudadanía a una simple relación</w:t>
      </w:r>
      <w:r w:rsidR="00137600" w:rsidRPr="00AF392D">
        <w:rPr>
          <w:rFonts w:ascii="Verdana" w:hAnsi="Verdana"/>
          <w:sz w:val="20"/>
          <w:szCs w:val="20"/>
        </w:rPr>
        <w:t xml:space="preserve"> política</w:t>
      </w:r>
      <w:r w:rsidRPr="00AF392D">
        <w:rPr>
          <w:rFonts w:ascii="Verdana" w:hAnsi="Verdana"/>
          <w:sz w:val="20"/>
          <w:szCs w:val="20"/>
        </w:rPr>
        <w:t xml:space="preserve"> entre </w:t>
      </w:r>
      <w:r w:rsidR="00EA4712" w:rsidRPr="00AF392D">
        <w:rPr>
          <w:rFonts w:ascii="Verdana" w:hAnsi="Verdana"/>
          <w:sz w:val="20"/>
          <w:szCs w:val="20"/>
        </w:rPr>
        <w:t>el varón-ciudadano</w:t>
      </w:r>
      <w:r w:rsidR="00285C4D" w:rsidRPr="00AF392D">
        <w:rPr>
          <w:rFonts w:ascii="Verdana" w:hAnsi="Verdana"/>
          <w:sz w:val="20"/>
          <w:szCs w:val="20"/>
        </w:rPr>
        <w:t xml:space="preserve"> </w:t>
      </w:r>
      <w:r w:rsidRPr="00AF392D">
        <w:rPr>
          <w:rFonts w:ascii="Verdana" w:hAnsi="Verdana"/>
          <w:sz w:val="20"/>
          <w:szCs w:val="20"/>
        </w:rPr>
        <w:t xml:space="preserve">y </w:t>
      </w:r>
      <w:proofErr w:type="gramStart"/>
      <w:r w:rsidRPr="00AF392D">
        <w:rPr>
          <w:rFonts w:ascii="Verdana" w:hAnsi="Verdana"/>
          <w:sz w:val="20"/>
          <w:szCs w:val="20"/>
        </w:rPr>
        <w:t>la polis</w:t>
      </w:r>
      <w:proofErr w:type="gramEnd"/>
      <w:r w:rsidR="00EA4712" w:rsidRPr="00AF392D">
        <w:rPr>
          <w:rFonts w:ascii="Verdana" w:hAnsi="Verdana"/>
          <w:sz w:val="20"/>
          <w:szCs w:val="20"/>
        </w:rPr>
        <w:t>, descartando otras explicaciones más complejas que permitan repensar el rol de la mujer</w:t>
      </w:r>
      <w:r w:rsidR="00137600" w:rsidRPr="00AF392D">
        <w:rPr>
          <w:rFonts w:ascii="Verdana" w:hAnsi="Verdana"/>
          <w:sz w:val="20"/>
          <w:szCs w:val="20"/>
        </w:rPr>
        <w:t xml:space="preserve">, como señalan </w:t>
      </w:r>
      <w:proofErr w:type="spellStart"/>
      <w:r w:rsidR="00137600" w:rsidRPr="00AF392D">
        <w:rPr>
          <w:rFonts w:ascii="Verdana" w:hAnsi="Verdana"/>
          <w:sz w:val="20"/>
          <w:szCs w:val="20"/>
        </w:rPr>
        <w:t>Feu</w:t>
      </w:r>
      <w:proofErr w:type="spellEnd"/>
      <w:r w:rsidR="00137600" w:rsidRPr="00AF392D">
        <w:rPr>
          <w:rFonts w:ascii="Verdana" w:hAnsi="Verdana"/>
          <w:sz w:val="20"/>
          <w:szCs w:val="20"/>
        </w:rPr>
        <w:t xml:space="preserve"> y Abril (2020),</w:t>
      </w:r>
      <w:r w:rsidR="00EA4712" w:rsidRPr="00AF392D">
        <w:rPr>
          <w:rFonts w:ascii="Verdana" w:hAnsi="Verdana"/>
          <w:sz w:val="20"/>
          <w:szCs w:val="20"/>
        </w:rPr>
        <w:t xml:space="preserve"> desde la alteridad o como elemento configurador de la masculinidad</w:t>
      </w:r>
      <w:r w:rsidR="00AA4005" w:rsidRPr="00AF392D">
        <w:rPr>
          <w:rFonts w:ascii="Verdana" w:hAnsi="Verdana"/>
          <w:sz w:val="20"/>
          <w:szCs w:val="20"/>
        </w:rPr>
        <w:t>. En este sentido, la historia escolar, a partir de dicho enfoque, busca preservar el mito que fundamenta la ciudadanía, siempre masc</w:t>
      </w:r>
      <w:r w:rsidR="005E7E4B" w:rsidRPr="00AF392D">
        <w:rPr>
          <w:rFonts w:ascii="Verdana" w:hAnsi="Verdana"/>
          <w:sz w:val="20"/>
          <w:szCs w:val="20"/>
        </w:rPr>
        <w:t xml:space="preserve">ulina, y legitima la </w:t>
      </w:r>
      <w:proofErr w:type="spellStart"/>
      <w:r w:rsidR="005E7E4B" w:rsidRPr="00AF392D">
        <w:rPr>
          <w:rFonts w:ascii="Verdana" w:hAnsi="Verdana"/>
          <w:sz w:val="20"/>
          <w:szCs w:val="20"/>
        </w:rPr>
        <w:t>invisibilización</w:t>
      </w:r>
      <w:proofErr w:type="spellEnd"/>
      <w:r w:rsidR="00AA4005" w:rsidRPr="00AF392D">
        <w:rPr>
          <w:rFonts w:ascii="Verdana" w:hAnsi="Verdana"/>
          <w:sz w:val="20"/>
          <w:szCs w:val="20"/>
        </w:rPr>
        <w:t xml:space="preserve"> de las mujeres dentro de la cultura gr</w:t>
      </w:r>
      <w:r w:rsidR="00C018C3" w:rsidRPr="00AF392D">
        <w:rPr>
          <w:rFonts w:ascii="Verdana" w:hAnsi="Verdana"/>
          <w:sz w:val="20"/>
          <w:szCs w:val="20"/>
        </w:rPr>
        <w:t>ecor</w:t>
      </w:r>
      <w:r w:rsidR="00AA4005" w:rsidRPr="00AF392D">
        <w:rPr>
          <w:rFonts w:ascii="Verdana" w:hAnsi="Verdana"/>
          <w:sz w:val="20"/>
          <w:szCs w:val="20"/>
        </w:rPr>
        <w:t>romana.</w:t>
      </w:r>
    </w:p>
    <w:p w14:paraId="554CE170" w14:textId="77777777" w:rsidR="00AF392D" w:rsidRPr="00AF392D" w:rsidRDefault="00AF392D" w:rsidP="00AF392D">
      <w:pPr>
        <w:pStyle w:val="Sinespaciado"/>
        <w:spacing w:line="360" w:lineRule="auto"/>
        <w:jc w:val="both"/>
        <w:rPr>
          <w:rFonts w:ascii="Verdana" w:hAnsi="Verdana"/>
          <w:sz w:val="20"/>
          <w:szCs w:val="20"/>
        </w:rPr>
      </w:pPr>
    </w:p>
    <w:p w14:paraId="20A333A7" w14:textId="35E4E68F" w:rsidR="00EC7EED" w:rsidRPr="00BF3F34" w:rsidRDefault="00854852" w:rsidP="003D1236">
      <w:pPr>
        <w:pStyle w:val="Sinespaciado"/>
        <w:spacing w:line="360" w:lineRule="auto"/>
        <w:jc w:val="both"/>
        <w:rPr>
          <w:rFonts w:ascii="Verdana" w:hAnsi="Verdana"/>
          <w:b/>
          <w:iCs/>
          <w:sz w:val="20"/>
          <w:szCs w:val="20"/>
        </w:rPr>
      </w:pPr>
      <w:r w:rsidRPr="00854852">
        <w:rPr>
          <w:rFonts w:ascii="Verdana" w:hAnsi="Verdana"/>
          <w:b/>
          <w:iCs/>
          <w:sz w:val="20"/>
          <w:szCs w:val="20"/>
        </w:rPr>
        <w:t>DISCUSIÓN</w:t>
      </w:r>
    </w:p>
    <w:p w14:paraId="0E7AD2B4" w14:textId="1CAA8A7F" w:rsidR="00806E6C" w:rsidRPr="00757502" w:rsidRDefault="00806E6C" w:rsidP="003D1236">
      <w:pPr>
        <w:pStyle w:val="Sinespaciado"/>
        <w:spacing w:line="360" w:lineRule="auto"/>
        <w:jc w:val="both"/>
        <w:rPr>
          <w:rFonts w:ascii="Verdana" w:hAnsi="Verdana"/>
          <w:b/>
          <w:sz w:val="20"/>
          <w:szCs w:val="20"/>
        </w:rPr>
      </w:pPr>
    </w:p>
    <w:p w14:paraId="558FE63A" w14:textId="44E93404" w:rsidR="00497813" w:rsidRPr="00E43972" w:rsidRDefault="00497813" w:rsidP="003D1236">
      <w:pPr>
        <w:pStyle w:val="Sinespaciado"/>
        <w:spacing w:line="360" w:lineRule="auto"/>
        <w:jc w:val="both"/>
        <w:rPr>
          <w:rFonts w:ascii="Verdana" w:hAnsi="Verdana" w:cs="Times New Roman"/>
          <w:sz w:val="20"/>
          <w:szCs w:val="20"/>
        </w:rPr>
      </w:pPr>
      <w:r w:rsidRPr="00E43972">
        <w:rPr>
          <w:rFonts w:ascii="Verdana" w:hAnsi="Verdana" w:cs="Times New Roman"/>
          <w:sz w:val="20"/>
          <w:szCs w:val="20"/>
        </w:rPr>
        <w:t xml:space="preserve">El análisis </w:t>
      </w:r>
      <w:r w:rsidR="004F6B57" w:rsidRPr="00E43972">
        <w:rPr>
          <w:rFonts w:ascii="Verdana" w:hAnsi="Verdana" w:cs="Times New Roman"/>
          <w:sz w:val="20"/>
          <w:szCs w:val="20"/>
        </w:rPr>
        <w:t xml:space="preserve">realizado </w:t>
      </w:r>
      <w:r w:rsidRPr="00E43972">
        <w:rPr>
          <w:rFonts w:ascii="Verdana" w:hAnsi="Verdana" w:cs="Times New Roman"/>
          <w:sz w:val="20"/>
          <w:szCs w:val="20"/>
        </w:rPr>
        <w:t xml:space="preserve">permite evidenciar que los textos escolares </w:t>
      </w:r>
      <w:r w:rsidR="004F6B57" w:rsidRPr="00E43972">
        <w:rPr>
          <w:rFonts w:ascii="Verdana" w:hAnsi="Verdana" w:cs="Times New Roman"/>
          <w:sz w:val="20"/>
          <w:szCs w:val="20"/>
        </w:rPr>
        <w:t xml:space="preserve">de Historia, Geografía y Ciencias Sociales distribuidos por el </w:t>
      </w:r>
      <w:r w:rsidR="007F693D" w:rsidRPr="00E43972">
        <w:rPr>
          <w:rFonts w:ascii="Verdana" w:hAnsi="Verdana" w:cs="Times New Roman"/>
          <w:sz w:val="20"/>
          <w:szCs w:val="20"/>
        </w:rPr>
        <w:t>MINEDUC</w:t>
      </w:r>
      <w:r w:rsidRPr="00E43972">
        <w:rPr>
          <w:rFonts w:ascii="Verdana" w:hAnsi="Verdana" w:cs="Times New Roman"/>
          <w:sz w:val="20"/>
          <w:szCs w:val="20"/>
        </w:rPr>
        <w:t xml:space="preserve"> son artefactos culturales </w:t>
      </w:r>
      <w:r w:rsidR="003508C8" w:rsidRPr="00E43972">
        <w:rPr>
          <w:rFonts w:ascii="Verdana" w:hAnsi="Verdana" w:cs="Times New Roman"/>
          <w:sz w:val="20"/>
          <w:szCs w:val="20"/>
        </w:rPr>
        <w:t>(</w:t>
      </w:r>
      <w:r w:rsidR="00BF1F53">
        <w:rPr>
          <w:rFonts w:ascii="Verdana" w:hAnsi="Verdana" w:cs="Times New Roman"/>
          <w:sz w:val="20"/>
          <w:szCs w:val="20"/>
        </w:rPr>
        <w:t>Rodríguez y Solé</w:t>
      </w:r>
      <w:r w:rsidR="003508C8" w:rsidRPr="00E43972">
        <w:rPr>
          <w:rFonts w:ascii="Verdana" w:hAnsi="Verdana" w:cs="Times New Roman"/>
          <w:sz w:val="20"/>
          <w:szCs w:val="20"/>
        </w:rPr>
        <w:t xml:space="preserve">, 2018) </w:t>
      </w:r>
      <w:r w:rsidRPr="00E43972">
        <w:rPr>
          <w:rFonts w:ascii="Verdana" w:hAnsi="Verdana" w:cs="Times New Roman"/>
          <w:sz w:val="20"/>
          <w:szCs w:val="20"/>
        </w:rPr>
        <w:t xml:space="preserve">y transmisores de </w:t>
      </w:r>
      <w:r w:rsidR="00BF1F53">
        <w:rPr>
          <w:rFonts w:ascii="Verdana" w:hAnsi="Verdana" w:cs="Times New Roman"/>
          <w:sz w:val="20"/>
          <w:szCs w:val="20"/>
        </w:rPr>
        <w:t>información</w:t>
      </w:r>
      <w:r w:rsidR="008C0323" w:rsidRPr="00E43972">
        <w:rPr>
          <w:rFonts w:ascii="Verdana" w:hAnsi="Verdana" w:cs="Times New Roman"/>
          <w:sz w:val="20"/>
          <w:szCs w:val="20"/>
        </w:rPr>
        <w:t xml:space="preserve"> </w:t>
      </w:r>
      <w:r w:rsidRPr="00E43972">
        <w:rPr>
          <w:rFonts w:ascii="Verdana" w:hAnsi="Verdana" w:cs="Times New Roman"/>
          <w:sz w:val="20"/>
          <w:szCs w:val="20"/>
        </w:rPr>
        <w:t>que da</w:t>
      </w:r>
      <w:r w:rsidR="00994020" w:rsidRPr="00E43972">
        <w:rPr>
          <w:rFonts w:ascii="Verdana" w:hAnsi="Verdana" w:cs="Times New Roman"/>
          <w:sz w:val="20"/>
          <w:szCs w:val="20"/>
        </w:rPr>
        <w:t>n cuenta de la visión androcéntrica</w:t>
      </w:r>
      <w:r w:rsidRPr="00E43972">
        <w:rPr>
          <w:rFonts w:ascii="Verdana" w:hAnsi="Verdana" w:cs="Times New Roman"/>
          <w:sz w:val="20"/>
          <w:szCs w:val="20"/>
        </w:rPr>
        <w:t xml:space="preserve"> del mundo</w:t>
      </w:r>
      <w:r w:rsidR="006A305E" w:rsidRPr="00E43972">
        <w:rPr>
          <w:rFonts w:ascii="Verdana" w:hAnsi="Verdana" w:cs="Times New Roman"/>
          <w:sz w:val="20"/>
          <w:szCs w:val="20"/>
        </w:rPr>
        <w:t xml:space="preserve"> (López &amp; Gutiérrez, 2020)</w:t>
      </w:r>
      <w:r w:rsidR="0040439D" w:rsidRPr="00E43972">
        <w:rPr>
          <w:rFonts w:ascii="Verdana" w:hAnsi="Verdana" w:cs="Times New Roman"/>
          <w:sz w:val="20"/>
          <w:szCs w:val="20"/>
        </w:rPr>
        <w:t>, pues</w:t>
      </w:r>
      <w:r w:rsidRPr="00E43972">
        <w:rPr>
          <w:rFonts w:ascii="Verdana" w:hAnsi="Verdana" w:cs="Times New Roman"/>
          <w:sz w:val="20"/>
          <w:szCs w:val="20"/>
        </w:rPr>
        <w:t xml:space="preserve"> </w:t>
      </w:r>
      <w:r w:rsidR="00994020" w:rsidRPr="00E43972">
        <w:rPr>
          <w:rFonts w:ascii="Verdana" w:hAnsi="Verdana" w:cs="Times New Roman"/>
          <w:sz w:val="20"/>
          <w:szCs w:val="20"/>
        </w:rPr>
        <w:t>l</w:t>
      </w:r>
      <w:r w:rsidR="00424B0D" w:rsidRPr="00E43972">
        <w:rPr>
          <w:rFonts w:ascii="Verdana" w:hAnsi="Verdana" w:cs="Times New Roman"/>
          <w:sz w:val="20"/>
          <w:szCs w:val="20"/>
        </w:rPr>
        <w:t xml:space="preserve">os resultados obtenidos </w:t>
      </w:r>
      <w:r w:rsidR="00757502" w:rsidRPr="00E43972">
        <w:rPr>
          <w:rFonts w:ascii="Verdana" w:hAnsi="Verdana" w:cs="Times New Roman"/>
          <w:sz w:val="20"/>
          <w:szCs w:val="20"/>
        </w:rPr>
        <w:t xml:space="preserve">revelan que </w:t>
      </w:r>
      <w:r w:rsidR="00CF2DF9" w:rsidRPr="00E43972">
        <w:rPr>
          <w:rFonts w:ascii="Verdana" w:hAnsi="Verdana" w:cs="Times New Roman"/>
          <w:sz w:val="20"/>
          <w:szCs w:val="20"/>
        </w:rPr>
        <w:t>la prese</w:t>
      </w:r>
      <w:r w:rsidR="008619A3">
        <w:rPr>
          <w:rFonts w:ascii="Verdana" w:hAnsi="Verdana" w:cs="Times New Roman"/>
          <w:sz w:val="20"/>
          <w:szCs w:val="20"/>
        </w:rPr>
        <w:t>ncia femenina en la Antigüedad C</w:t>
      </w:r>
      <w:r w:rsidR="00CF2DF9" w:rsidRPr="00E43972">
        <w:rPr>
          <w:rFonts w:ascii="Verdana" w:hAnsi="Verdana" w:cs="Times New Roman"/>
          <w:sz w:val="20"/>
          <w:szCs w:val="20"/>
        </w:rPr>
        <w:t>lásica ha estado prácticamente ausente</w:t>
      </w:r>
      <w:r w:rsidR="006A305E" w:rsidRPr="00E43972">
        <w:rPr>
          <w:rFonts w:ascii="Verdana" w:hAnsi="Verdana" w:cs="Times New Roman"/>
          <w:sz w:val="20"/>
          <w:szCs w:val="20"/>
        </w:rPr>
        <w:t xml:space="preserve"> en las unidades examinadas, ya que</w:t>
      </w:r>
      <w:r w:rsidR="00CF2DF9" w:rsidRPr="00E43972">
        <w:rPr>
          <w:rFonts w:ascii="Verdana" w:hAnsi="Verdana" w:cs="Times New Roman"/>
          <w:sz w:val="20"/>
          <w:szCs w:val="20"/>
        </w:rPr>
        <w:t xml:space="preserve"> </w:t>
      </w:r>
      <w:r w:rsidR="00E26CFC" w:rsidRPr="00E43972">
        <w:rPr>
          <w:rFonts w:ascii="Verdana" w:hAnsi="Verdana" w:cs="Times New Roman"/>
          <w:sz w:val="20"/>
          <w:szCs w:val="20"/>
        </w:rPr>
        <w:t xml:space="preserve">estas privilegian </w:t>
      </w:r>
      <w:r w:rsidR="00A00E57" w:rsidRPr="00E43972">
        <w:rPr>
          <w:rFonts w:ascii="Verdana" w:hAnsi="Verdana" w:cs="Times New Roman"/>
          <w:sz w:val="20"/>
          <w:szCs w:val="20"/>
        </w:rPr>
        <w:t xml:space="preserve">el </w:t>
      </w:r>
      <w:r w:rsidR="007720AE" w:rsidRPr="00E43972">
        <w:rPr>
          <w:rFonts w:ascii="Verdana" w:hAnsi="Verdana" w:cs="Times New Roman"/>
          <w:sz w:val="20"/>
          <w:szCs w:val="20"/>
        </w:rPr>
        <w:t>tratamiento del legado realizado</w:t>
      </w:r>
      <w:r w:rsidR="00CF2DF9" w:rsidRPr="00E43972">
        <w:rPr>
          <w:rFonts w:ascii="Verdana" w:hAnsi="Verdana" w:cs="Times New Roman"/>
          <w:sz w:val="20"/>
          <w:szCs w:val="20"/>
        </w:rPr>
        <w:t xml:space="preserve"> por diversas figuras masculinas en la construcción de la democracia actual. Por esta razón, ninguna mujer, como </w:t>
      </w:r>
      <w:proofErr w:type="spellStart"/>
      <w:r w:rsidR="00CF2DF9" w:rsidRPr="00E43972">
        <w:rPr>
          <w:rFonts w:ascii="Verdana" w:hAnsi="Verdana" w:cs="Times New Roman"/>
          <w:sz w:val="20"/>
          <w:szCs w:val="20"/>
        </w:rPr>
        <w:t>Gorgo</w:t>
      </w:r>
      <w:proofErr w:type="spellEnd"/>
      <w:r w:rsidR="00CF2DF9" w:rsidRPr="00E43972">
        <w:rPr>
          <w:rFonts w:ascii="Verdana" w:hAnsi="Verdana" w:cs="Times New Roman"/>
          <w:sz w:val="20"/>
          <w:szCs w:val="20"/>
        </w:rPr>
        <w:t xml:space="preserve">, </w:t>
      </w:r>
      <w:proofErr w:type="spellStart"/>
      <w:r w:rsidR="00CF2DF9" w:rsidRPr="00E43972">
        <w:rPr>
          <w:rFonts w:ascii="Verdana" w:hAnsi="Verdana" w:cs="Times New Roman"/>
          <w:sz w:val="20"/>
          <w:szCs w:val="20"/>
        </w:rPr>
        <w:t>Cinisca</w:t>
      </w:r>
      <w:proofErr w:type="spellEnd"/>
      <w:r w:rsidR="00CF2DF9" w:rsidRPr="00E43972">
        <w:rPr>
          <w:rFonts w:ascii="Verdana" w:hAnsi="Verdana" w:cs="Times New Roman"/>
          <w:sz w:val="20"/>
          <w:szCs w:val="20"/>
        </w:rPr>
        <w:t xml:space="preserve">, </w:t>
      </w:r>
      <w:proofErr w:type="spellStart"/>
      <w:r w:rsidR="00DE4DC6" w:rsidRPr="00E43972">
        <w:rPr>
          <w:rFonts w:ascii="Verdana" w:hAnsi="Verdana" w:cs="Times New Roman"/>
          <w:sz w:val="20"/>
          <w:szCs w:val="20"/>
        </w:rPr>
        <w:lastRenderedPageBreak/>
        <w:t>Safo</w:t>
      </w:r>
      <w:proofErr w:type="spellEnd"/>
      <w:r w:rsidR="00DE4DC6" w:rsidRPr="00E43972">
        <w:rPr>
          <w:rFonts w:ascii="Verdana" w:hAnsi="Verdana" w:cs="Times New Roman"/>
          <w:sz w:val="20"/>
          <w:szCs w:val="20"/>
        </w:rPr>
        <w:t xml:space="preserve"> de Mitilene, </w:t>
      </w:r>
      <w:proofErr w:type="spellStart"/>
      <w:r w:rsidR="00DE4DC6" w:rsidRPr="00E43972">
        <w:rPr>
          <w:rFonts w:ascii="Verdana" w:hAnsi="Verdana" w:cs="Times New Roman"/>
          <w:sz w:val="20"/>
          <w:szCs w:val="20"/>
        </w:rPr>
        <w:t>Téano</w:t>
      </w:r>
      <w:proofErr w:type="spellEnd"/>
      <w:r w:rsidR="00DE4DC6" w:rsidRPr="00E43972">
        <w:rPr>
          <w:rFonts w:ascii="Verdana" w:hAnsi="Verdana" w:cs="Times New Roman"/>
          <w:sz w:val="20"/>
          <w:szCs w:val="20"/>
        </w:rPr>
        <w:t xml:space="preserve"> de Crotona y </w:t>
      </w:r>
      <w:proofErr w:type="spellStart"/>
      <w:r w:rsidR="00DE4DC6" w:rsidRPr="00E43972">
        <w:rPr>
          <w:rFonts w:ascii="Verdana" w:hAnsi="Verdana" w:cs="Times New Roman"/>
          <w:sz w:val="20"/>
          <w:szCs w:val="20"/>
        </w:rPr>
        <w:t>Aspasia</w:t>
      </w:r>
      <w:proofErr w:type="spellEnd"/>
      <w:r w:rsidR="00DE4DC6" w:rsidRPr="00E43972">
        <w:rPr>
          <w:rFonts w:ascii="Verdana" w:hAnsi="Verdana" w:cs="Times New Roman"/>
          <w:sz w:val="20"/>
          <w:szCs w:val="20"/>
        </w:rPr>
        <w:t xml:space="preserve"> de Mileto</w:t>
      </w:r>
      <w:r w:rsidR="00CF2DF9" w:rsidRPr="00E43972">
        <w:rPr>
          <w:rFonts w:ascii="Verdana" w:hAnsi="Verdana" w:cs="Times New Roman"/>
          <w:sz w:val="20"/>
          <w:szCs w:val="20"/>
        </w:rPr>
        <w:t xml:space="preserve">, y su respectiva aportación al desarrollo intelectual, político y económico, forma parte de la narrativa prevista. </w:t>
      </w:r>
    </w:p>
    <w:p w14:paraId="3C9CE98F" w14:textId="14DDC3E4" w:rsidR="00EC7EED" w:rsidRPr="00E43972" w:rsidRDefault="004F6B57" w:rsidP="003D1236">
      <w:pPr>
        <w:pStyle w:val="Sinespaciado"/>
        <w:spacing w:line="360" w:lineRule="auto"/>
        <w:jc w:val="both"/>
        <w:rPr>
          <w:rFonts w:ascii="Verdana" w:hAnsi="Verdana" w:cs="Times New Roman"/>
          <w:sz w:val="20"/>
          <w:szCs w:val="20"/>
        </w:rPr>
      </w:pPr>
      <w:r w:rsidRPr="00E43972">
        <w:rPr>
          <w:rFonts w:ascii="Verdana" w:hAnsi="Verdana" w:cs="Times New Roman"/>
          <w:sz w:val="20"/>
          <w:szCs w:val="20"/>
        </w:rPr>
        <w:t>Esta situación</w:t>
      </w:r>
      <w:r w:rsidR="00424B0D" w:rsidRPr="00E43972">
        <w:rPr>
          <w:rFonts w:ascii="Verdana" w:hAnsi="Verdana" w:cs="Times New Roman"/>
          <w:sz w:val="20"/>
          <w:szCs w:val="20"/>
        </w:rPr>
        <w:t>, tal como se constata</w:t>
      </w:r>
      <w:r w:rsidR="00E43972" w:rsidRPr="00E43972">
        <w:rPr>
          <w:rFonts w:ascii="Verdana" w:hAnsi="Verdana" w:cs="Times New Roman"/>
          <w:sz w:val="20"/>
          <w:szCs w:val="20"/>
        </w:rPr>
        <w:t xml:space="preserve"> en este estudio</w:t>
      </w:r>
      <w:r w:rsidRPr="00E43972">
        <w:rPr>
          <w:rFonts w:ascii="Verdana" w:hAnsi="Verdana" w:cs="Times New Roman"/>
          <w:sz w:val="20"/>
          <w:szCs w:val="20"/>
        </w:rPr>
        <w:t xml:space="preserve">, se observa en la </w:t>
      </w:r>
      <w:r w:rsidR="006A305E" w:rsidRPr="00E43972">
        <w:rPr>
          <w:rFonts w:ascii="Verdana" w:hAnsi="Verdana" w:cs="Times New Roman"/>
          <w:sz w:val="20"/>
          <w:szCs w:val="20"/>
        </w:rPr>
        <w:t xml:space="preserve">exclusión total o parcial </w:t>
      </w:r>
      <w:r w:rsidR="00BF1F53">
        <w:rPr>
          <w:rFonts w:ascii="Verdana" w:hAnsi="Verdana" w:cs="Times New Roman"/>
          <w:sz w:val="20"/>
          <w:szCs w:val="20"/>
        </w:rPr>
        <w:t>de la mujer</w:t>
      </w:r>
      <w:r w:rsidR="002C3B9E" w:rsidRPr="00E43972">
        <w:rPr>
          <w:rFonts w:ascii="Verdana" w:hAnsi="Verdana" w:cs="Times New Roman"/>
          <w:sz w:val="20"/>
          <w:szCs w:val="20"/>
        </w:rPr>
        <w:t xml:space="preserve"> en </w:t>
      </w:r>
      <w:r w:rsidR="003A6891" w:rsidRPr="00E43972">
        <w:rPr>
          <w:rFonts w:ascii="Verdana" w:hAnsi="Verdana" w:cs="Times New Roman"/>
          <w:sz w:val="20"/>
          <w:szCs w:val="20"/>
        </w:rPr>
        <w:t>la</w:t>
      </w:r>
      <w:r w:rsidR="00757502" w:rsidRPr="00E43972">
        <w:rPr>
          <w:rFonts w:ascii="Verdana" w:hAnsi="Verdana" w:cs="Times New Roman"/>
          <w:sz w:val="20"/>
          <w:szCs w:val="20"/>
        </w:rPr>
        <w:t>s</w:t>
      </w:r>
      <w:r w:rsidR="003A6891" w:rsidRPr="00E43972">
        <w:rPr>
          <w:rFonts w:ascii="Verdana" w:hAnsi="Verdana" w:cs="Times New Roman"/>
          <w:sz w:val="20"/>
          <w:szCs w:val="20"/>
        </w:rPr>
        <w:t xml:space="preserve"> sociedad</w:t>
      </w:r>
      <w:r w:rsidR="00757502" w:rsidRPr="00E43972">
        <w:rPr>
          <w:rFonts w:ascii="Verdana" w:hAnsi="Verdana" w:cs="Times New Roman"/>
          <w:sz w:val="20"/>
          <w:szCs w:val="20"/>
        </w:rPr>
        <w:t>es</w:t>
      </w:r>
      <w:r w:rsidR="003A6891" w:rsidRPr="00E43972">
        <w:rPr>
          <w:rFonts w:ascii="Verdana" w:hAnsi="Verdana" w:cs="Times New Roman"/>
          <w:sz w:val="20"/>
          <w:szCs w:val="20"/>
        </w:rPr>
        <w:t xml:space="preserve"> griega y romana</w:t>
      </w:r>
      <w:r w:rsidRPr="00E43972">
        <w:rPr>
          <w:rFonts w:ascii="Verdana" w:hAnsi="Verdana" w:cs="Times New Roman"/>
          <w:sz w:val="20"/>
          <w:szCs w:val="20"/>
        </w:rPr>
        <w:t>, en la</w:t>
      </w:r>
      <w:r w:rsidR="001468D5" w:rsidRPr="00E43972">
        <w:rPr>
          <w:rFonts w:ascii="Verdana" w:hAnsi="Verdana" w:cs="Times New Roman"/>
          <w:sz w:val="20"/>
          <w:szCs w:val="20"/>
        </w:rPr>
        <w:t xml:space="preserve"> dicotomía</w:t>
      </w:r>
      <w:r w:rsidR="00424B0D" w:rsidRPr="00E43972">
        <w:rPr>
          <w:rFonts w:ascii="Verdana" w:hAnsi="Verdana" w:cs="Times New Roman"/>
          <w:sz w:val="20"/>
          <w:szCs w:val="20"/>
        </w:rPr>
        <w:t xml:space="preserve"> que existe entre los roles </w:t>
      </w:r>
      <w:r w:rsidR="00251D4E" w:rsidRPr="00E43972">
        <w:rPr>
          <w:rFonts w:ascii="Verdana" w:hAnsi="Verdana" w:cs="Times New Roman"/>
          <w:sz w:val="20"/>
          <w:szCs w:val="20"/>
        </w:rPr>
        <w:t xml:space="preserve">público </w:t>
      </w:r>
      <w:r w:rsidR="00424B0D" w:rsidRPr="00E43972">
        <w:rPr>
          <w:rFonts w:ascii="Verdana" w:hAnsi="Verdana" w:cs="Times New Roman"/>
          <w:sz w:val="20"/>
          <w:szCs w:val="20"/>
        </w:rPr>
        <w:t xml:space="preserve">masculino y </w:t>
      </w:r>
      <w:r w:rsidR="00251D4E" w:rsidRPr="00E43972">
        <w:rPr>
          <w:rFonts w:ascii="Verdana" w:hAnsi="Verdana" w:cs="Times New Roman"/>
          <w:sz w:val="20"/>
          <w:szCs w:val="20"/>
        </w:rPr>
        <w:t xml:space="preserve">privado </w:t>
      </w:r>
      <w:r w:rsidR="00424B0D" w:rsidRPr="00E43972">
        <w:rPr>
          <w:rFonts w:ascii="Verdana" w:hAnsi="Verdana" w:cs="Times New Roman"/>
          <w:sz w:val="20"/>
          <w:szCs w:val="20"/>
        </w:rPr>
        <w:t>femenino</w:t>
      </w:r>
      <w:r w:rsidR="001468D5" w:rsidRPr="00E43972">
        <w:rPr>
          <w:rFonts w:ascii="Verdana" w:hAnsi="Verdana" w:cs="Times New Roman"/>
          <w:sz w:val="20"/>
          <w:szCs w:val="20"/>
        </w:rPr>
        <w:t>,</w:t>
      </w:r>
      <w:r w:rsidR="0031329F" w:rsidRPr="00E43972">
        <w:rPr>
          <w:rFonts w:ascii="Verdana" w:hAnsi="Verdana" w:cs="Times New Roman"/>
          <w:sz w:val="20"/>
          <w:szCs w:val="20"/>
        </w:rPr>
        <w:t xml:space="preserve"> </w:t>
      </w:r>
      <w:r w:rsidR="003A6891" w:rsidRPr="00E43972">
        <w:rPr>
          <w:rFonts w:ascii="Verdana" w:hAnsi="Verdana" w:cs="Times New Roman"/>
          <w:sz w:val="20"/>
          <w:szCs w:val="20"/>
        </w:rPr>
        <w:t xml:space="preserve">y </w:t>
      </w:r>
      <w:r w:rsidRPr="00E43972">
        <w:rPr>
          <w:rFonts w:ascii="Verdana" w:hAnsi="Verdana" w:cs="Times New Roman"/>
          <w:sz w:val="20"/>
          <w:szCs w:val="20"/>
        </w:rPr>
        <w:t>en la</w:t>
      </w:r>
      <w:r w:rsidR="0031329F" w:rsidRPr="00E43972">
        <w:rPr>
          <w:rFonts w:ascii="Verdana" w:hAnsi="Verdana" w:cs="Times New Roman"/>
          <w:sz w:val="20"/>
          <w:szCs w:val="20"/>
        </w:rPr>
        <w:t xml:space="preserve"> arraiga</w:t>
      </w:r>
      <w:r w:rsidR="00045864" w:rsidRPr="00E43972">
        <w:rPr>
          <w:rFonts w:ascii="Verdana" w:hAnsi="Verdana" w:cs="Times New Roman"/>
          <w:sz w:val="20"/>
          <w:szCs w:val="20"/>
        </w:rPr>
        <w:t>da</w:t>
      </w:r>
      <w:r w:rsidR="0031329F" w:rsidRPr="00E43972">
        <w:rPr>
          <w:rFonts w:ascii="Verdana" w:hAnsi="Verdana" w:cs="Times New Roman"/>
          <w:sz w:val="20"/>
          <w:szCs w:val="20"/>
        </w:rPr>
        <w:t xml:space="preserve"> perspectiva histórica </w:t>
      </w:r>
      <w:proofErr w:type="spellStart"/>
      <w:r w:rsidR="0031329F" w:rsidRPr="00E43972">
        <w:rPr>
          <w:rFonts w:ascii="Verdana" w:hAnsi="Verdana" w:cs="Times New Roman"/>
          <w:sz w:val="20"/>
          <w:szCs w:val="20"/>
        </w:rPr>
        <w:t>adultoc</w:t>
      </w:r>
      <w:r w:rsidR="005234AC" w:rsidRPr="00E43972">
        <w:rPr>
          <w:rFonts w:ascii="Verdana" w:hAnsi="Verdana" w:cs="Times New Roman"/>
          <w:sz w:val="20"/>
          <w:szCs w:val="20"/>
        </w:rPr>
        <w:t>éntrica</w:t>
      </w:r>
      <w:proofErr w:type="spellEnd"/>
      <w:r w:rsidR="0031329F" w:rsidRPr="00E43972">
        <w:rPr>
          <w:rFonts w:ascii="Verdana" w:hAnsi="Verdana" w:cs="Times New Roman"/>
          <w:sz w:val="20"/>
          <w:szCs w:val="20"/>
        </w:rPr>
        <w:t xml:space="preserve"> que busca enaltecer la figura del hombre</w:t>
      </w:r>
      <w:r w:rsidR="003A6891" w:rsidRPr="00E43972">
        <w:rPr>
          <w:rFonts w:ascii="Verdana" w:hAnsi="Verdana" w:cs="Times New Roman"/>
          <w:sz w:val="20"/>
          <w:szCs w:val="20"/>
        </w:rPr>
        <w:t xml:space="preserve"> adulto</w:t>
      </w:r>
      <w:r w:rsidR="0031329F" w:rsidRPr="00E43972">
        <w:rPr>
          <w:rFonts w:ascii="Verdana" w:hAnsi="Verdana" w:cs="Times New Roman"/>
          <w:sz w:val="20"/>
          <w:szCs w:val="20"/>
        </w:rPr>
        <w:t xml:space="preserve"> libre</w:t>
      </w:r>
      <w:r w:rsidR="003A6891" w:rsidRPr="00E43972">
        <w:rPr>
          <w:rFonts w:ascii="Verdana" w:hAnsi="Verdana" w:cs="Times New Roman"/>
          <w:sz w:val="20"/>
          <w:szCs w:val="20"/>
        </w:rPr>
        <w:t xml:space="preserve"> </w:t>
      </w:r>
      <w:r w:rsidR="0031329F" w:rsidRPr="00E43972">
        <w:rPr>
          <w:rFonts w:ascii="Verdana" w:hAnsi="Verdana" w:cs="Times New Roman"/>
          <w:sz w:val="20"/>
          <w:szCs w:val="20"/>
        </w:rPr>
        <w:t>como un prototipo de ciudadano ideal</w:t>
      </w:r>
      <w:r w:rsidR="002C3B9E" w:rsidRPr="00E43972">
        <w:rPr>
          <w:rFonts w:ascii="Verdana" w:hAnsi="Verdana" w:cs="Times New Roman"/>
          <w:sz w:val="20"/>
          <w:szCs w:val="20"/>
        </w:rPr>
        <w:t xml:space="preserve">. </w:t>
      </w:r>
      <w:r w:rsidR="00C47C5E" w:rsidRPr="00E43972">
        <w:rPr>
          <w:rFonts w:ascii="Verdana" w:hAnsi="Verdana" w:cs="Times New Roman"/>
          <w:sz w:val="20"/>
          <w:szCs w:val="20"/>
        </w:rPr>
        <w:t xml:space="preserve">También se evidencia en la ausencia de una </w:t>
      </w:r>
      <w:r w:rsidR="00C068E2" w:rsidRPr="00E43972">
        <w:rPr>
          <w:rFonts w:ascii="Verdana" w:hAnsi="Verdana" w:cs="Times New Roman"/>
          <w:sz w:val="20"/>
          <w:szCs w:val="20"/>
        </w:rPr>
        <w:t>reflexión</w:t>
      </w:r>
      <w:r w:rsidR="00C47C5E" w:rsidRPr="00E43972">
        <w:rPr>
          <w:rFonts w:ascii="Verdana" w:hAnsi="Verdana" w:cs="Times New Roman"/>
          <w:sz w:val="20"/>
          <w:szCs w:val="20"/>
        </w:rPr>
        <w:t xml:space="preserve"> crítica que plantee</w:t>
      </w:r>
      <w:r w:rsidR="00C068E2" w:rsidRPr="00E43972">
        <w:rPr>
          <w:rFonts w:ascii="Verdana" w:hAnsi="Verdana" w:cs="Times New Roman"/>
          <w:sz w:val="20"/>
          <w:szCs w:val="20"/>
        </w:rPr>
        <w:t xml:space="preserve"> la necesidad de repensar la historia </w:t>
      </w:r>
      <w:r w:rsidR="00D80C5F" w:rsidRPr="00E43972">
        <w:rPr>
          <w:rFonts w:ascii="Verdana" w:hAnsi="Verdana" w:cs="Times New Roman"/>
          <w:sz w:val="20"/>
          <w:szCs w:val="20"/>
        </w:rPr>
        <w:t>desde</w:t>
      </w:r>
      <w:r w:rsidR="00C068E2" w:rsidRPr="00E43972">
        <w:rPr>
          <w:rFonts w:ascii="Verdana" w:hAnsi="Verdana" w:cs="Times New Roman"/>
          <w:sz w:val="20"/>
          <w:szCs w:val="20"/>
        </w:rPr>
        <w:t xml:space="preserve"> una perspectiva de género, </w:t>
      </w:r>
      <w:r w:rsidR="003A6891" w:rsidRPr="00E43972">
        <w:rPr>
          <w:rFonts w:ascii="Verdana" w:hAnsi="Verdana" w:cs="Times New Roman"/>
          <w:sz w:val="20"/>
          <w:szCs w:val="20"/>
        </w:rPr>
        <w:t>pues</w:t>
      </w:r>
      <w:r w:rsidR="00C068E2" w:rsidRPr="00E43972">
        <w:rPr>
          <w:rFonts w:ascii="Verdana" w:hAnsi="Verdana" w:cs="Times New Roman"/>
          <w:sz w:val="20"/>
          <w:szCs w:val="20"/>
        </w:rPr>
        <w:t xml:space="preserve"> </w:t>
      </w:r>
      <w:r w:rsidR="00AC7043" w:rsidRPr="00E43972">
        <w:rPr>
          <w:rFonts w:ascii="Verdana" w:hAnsi="Verdana" w:cs="Times New Roman"/>
          <w:sz w:val="20"/>
          <w:szCs w:val="20"/>
        </w:rPr>
        <w:t>la mayor parte d</w:t>
      </w:r>
      <w:r w:rsidR="00C068E2" w:rsidRPr="00E43972">
        <w:rPr>
          <w:rFonts w:ascii="Verdana" w:hAnsi="Verdana" w:cs="Times New Roman"/>
          <w:sz w:val="20"/>
          <w:szCs w:val="20"/>
        </w:rPr>
        <w:t>el discurso</w:t>
      </w:r>
      <w:r w:rsidR="00C47C5E" w:rsidRPr="00E43972">
        <w:rPr>
          <w:rFonts w:ascii="Verdana" w:hAnsi="Verdana" w:cs="Times New Roman"/>
          <w:sz w:val="20"/>
          <w:szCs w:val="20"/>
        </w:rPr>
        <w:t xml:space="preserve"> </w:t>
      </w:r>
      <w:r w:rsidR="00C068E2" w:rsidRPr="00E43972">
        <w:rPr>
          <w:rFonts w:ascii="Verdana" w:hAnsi="Verdana" w:cs="Times New Roman"/>
          <w:sz w:val="20"/>
          <w:szCs w:val="20"/>
        </w:rPr>
        <w:t xml:space="preserve">tiende </w:t>
      </w:r>
      <w:r w:rsidR="00C87AB7" w:rsidRPr="00E43972">
        <w:rPr>
          <w:rFonts w:ascii="Verdana" w:hAnsi="Verdana" w:cs="Times New Roman"/>
          <w:sz w:val="20"/>
          <w:szCs w:val="20"/>
        </w:rPr>
        <w:t xml:space="preserve">a </w:t>
      </w:r>
      <w:r w:rsidR="00C068E2" w:rsidRPr="00E43972">
        <w:rPr>
          <w:rFonts w:ascii="Verdana" w:hAnsi="Verdana" w:cs="Times New Roman"/>
          <w:sz w:val="20"/>
          <w:szCs w:val="20"/>
        </w:rPr>
        <w:t xml:space="preserve">desplazar </w:t>
      </w:r>
      <w:r w:rsidR="0061654D" w:rsidRPr="00E43972">
        <w:rPr>
          <w:rFonts w:ascii="Verdana" w:hAnsi="Verdana" w:cs="Times New Roman"/>
          <w:sz w:val="20"/>
          <w:szCs w:val="20"/>
        </w:rPr>
        <w:t xml:space="preserve">el </w:t>
      </w:r>
      <w:r w:rsidR="001D35D8" w:rsidRPr="00E43972">
        <w:rPr>
          <w:rFonts w:ascii="Verdana" w:hAnsi="Verdana" w:cs="Times New Roman"/>
          <w:sz w:val="20"/>
          <w:szCs w:val="20"/>
        </w:rPr>
        <w:t xml:space="preserve">papel de la mujer </w:t>
      </w:r>
      <w:r w:rsidR="00C068E2" w:rsidRPr="00E43972">
        <w:rPr>
          <w:rFonts w:ascii="Verdana" w:hAnsi="Verdana" w:cs="Times New Roman"/>
          <w:sz w:val="20"/>
          <w:szCs w:val="20"/>
        </w:rPr>
        <w:t xml:space="preserve">hacia un segundo plano. </w:t>
      </w:r>
    </w:p>
    <w:p w14:paraId="73FF10CB" w14:textId="4190E839" w:rsidR="00CF2DF9" w:rsidRPr="00E43972" w:rsidRDefault="006104AF" w:rsidP="003D1236">
      <w:pPr>
        <w:pStyle w:val="Sinespaciado"/>
        <w:spacing w:line="360" w:lineRule="auto"/>
        <w:jc w:val="both"/>
        <w:rPr>
          <w:rFonts w:ascii="Verdana" w:hAnsi="Verdana" w:cs="Times New Roman"/>
          <w:sz w:val="20"/>
          <w:szCs w:val="20"/>
        </w:rPr>
      </w:pPr>
      <w:r w:rsidRPr="00E43972">
        <w:rPr>
          <w:rFonts w:ascii="Verdana" w:hAnsi="Verdana" w:cs="Times New Roman"/>
          <w:sz w:val="20"/>
          <w:szCs w:val="20"/>
        </w:rPr>
        <w:t xml:space="preserve">Este posicionamiento responde a los lineamientos curriculares </w:t>
      </w:r>
      <w:r w:rsidR="0045270B" w:rsidRPr="00E43972">
        <w:rPr>
          <w:rFonts w:ascii="Verdana" w:hAnsi="Verdana" w:cs="Times New Roman"/>
          <w:sz w:val="20"/>
          <w:szCs w:val="20"/>
        </w:rPr>
        <w:t xml:space="preserve">tradicionales </w:t>
      </w:r>
      <w:r w:rsidRPr="00E43972">
        <w:rPr>
          <w:rFonts w:ascii="Verdana" w:hAnsi="Verdana" w:cs="Times New Roman"/>
          <w:sz w:val="20"/>
          <w:szCs w:val="20"/>
        </w:rPr>
        <w:t xml:space="preserve">de </w:t>
      </w:r>
      <w:r w:rsidR="002C3B9E" w:rsidRPr="00E43972">
        <w:rPr>
          <w:rFonts w:ascii="Verdana" w:hAnsi="Verdana" w:cs="Times New Roman"/>
          <w:sz w:val="20"/>
          <w:szCs w:val="20"/>
        </w:rPr>
        <w:t xml:space="preserve">la editorial </w:t>
      </w:r>
      <w:r w:rsidRPr="00E43972">
        <w:rPr>
          <w:rFonts w:ascii="Verdana" w:hAnsi="Verdana" w:cs="Times New Roman"/>
          <w:sz w:val="20"/>
          <w:szCs w:val="20"/>
        </w:rPr>
        <w:t>SM</w:t>
      </w:r>
      <w:r w:rsidR="002C3B9E" w:rsidRPr="00E43972">
        <w:rPr>
          <w:rFonts w:ascii="Verdana" w:hAnsi="Verdana" w:cs="Times New Roman"/>
          <w:sz w:val="20"/>
          <w:szCs w:val="20"/>
        </w:rPr>
        <w:t xml:space="preserve">, la cual se sustenta en </w:t>
      </w:r>
      <w:r w:rsidRPr="00E43972">
        <w:rPr>
          <w:rFonts w:ascii="Verdana" w:hAnsi="Verdana" w:cs="Times New Roman"/>
          <w:sz w:val="20"/>
          <w:szCs w:val="20"/>
        </w:rPr>
        <w:t>un</w:t>
      </w:r>
      <w:r w:rsidR="002C3B9E" w:rsidRPr="00E43972">
        <w:rPr>
          <w:rFonts w:ascii="Verdana" w:hAnsi="Verdana" w:cs="Times New Roman"/>
          <w:sz w:val="20"/>
          <w:szCs w:val="20"/>
        </w:rPr>
        <w:t>a visión</w:t>
      </w:r>
      <w:r w:rsidRPr="00E43972">
        <w:rPr>
          <w:rFonts w:ascii="Verdana" w:hAnsi="Verdana" w:cs="Times New Roman"/>
          <w:sz w:val="20"/>
          <w:szCs w:val="20"/>
        </w:rPr>
        <w:t xml:space="preserve"> </w:t>
      </w:r>
      <w:r w:rsidR="000D0936">
        <w:rPr>
          <w:rFonts w:ascii="Verdana" w:hAnsi="Verdana" w:cs="Times New Roman"/>
          <w:sz w:val="20"/>
          <w:szCs w:val="20"/>
        </w:rPr>
        <w:t>euro</w:t>
      </w:r>
      <w:r w:rsidRPr="00E43972">
        <w:rPr>
          <w:rFonts w:ascii="Verdana" w:hAnsi="Verdana" w:cs="Times New Roman"/>
          <w:sz w:val="20"/>
          <w:szCs w:val="20"/>
        </w:rPr>
        <w:t>-androcéntric</w:t>
      </w:r>
      <w:r w:rsidR="002C3B9E" w:rsidRPr="00E43972">
        <w:rPr>
          <w:rFonts w:ascii="Verdana" w:hAnsi="Verdana" w:cs="Times New Roman"/>
          <w:sz w:val="20"/>
          <w:szCs w:val="20"/>
        </w:rPr>
        <w:t>a</w:t>
      </w:r>
      <w:r w:rsidRPr="00E43972">
        <w:rPr>
          <w:rFonts w:ascii="Verdana" w:hAnsi="Verdana" w:cs="Times New Roman"/>
          <w:sz w:val="20"/>
          <w:szCs w:val="20"/>
        </w:rPr>
        <w:t xml:space="preserve">, razón por la que </w:t>
      </w:r>
      <w:r w:rsidR="0061654D" w:rsidRPr="00E43972">
        <w:rPr>
          <w:rFonts w:ascii="Verdana" w:hAnsi="Verdana" w:cs="Times New Roman"/>
          <w:sz w:val="20"/>
          <w:szCs w:val="20"/>
        </w:rPr>
        <w:t xml:space="preserve">en los manuales </w:t>
      </w:r>
      <w:r w:rsidR="001D35D8" w:rsidRPr="00E43972">
        <w:rPr>
          <w:rFonts w:ascii="Verdana" w:hAnsi="Verdana" w:cs="Times New Roman"/>
          <w:sz w:val="20"/>
          <w:szCs w:val="20"/>
        </w:rPr>
        <w:t>que produce</w:t>
      </w:r>
      <w:r w:rsidR="00F66D55" w:rsidRPr="00E43972">
        <w:rPr>
          <w:rFonts w:ascii="Verdana" w:hAnsi="Verdana" w:cs="Times New Roman"/>
          <w:sz w:val="20"/>
          <w:szCs w:val="20"/>
        </w:rPr>
        <w:t xml:space="preserve"> se</w:t>
      </w:r>
      <w:r w:rsidR="0061654D" w:rsidRPr="00E43972">
        <w:rPr>
          <w:rFonts w:ascii="Verdana" w:hAnsi="Verdana" w:cs="Times New Roman"/>
          <w:sz w:val="20"/>
          <w:szCs w:val="20"/>
        </w:rPr>
        <w:t xml:space="preserve"> </w:t>
      </w:r>
      <w:r w:rsidRPr="00E43972">
        <w:rPr>
          <w:rFonts w:ascii="Verdana" w:hAnsi="Verdana" w:cs="Times New Roman"/>
          <w:sz w:val="20"/>
          <w:szCs w:val="20"/>
        </w:rPr>
        <w:t>excluye o atenúa el rol femenino dentro de</w:t>
      </w:r>
      <w:r w:rsidR="008619A3">
        <w:rPr>
          <w:rFonts w:ascii="Verdana" w:hAnsi="Verdana" w:cs="Times New Roman"/>
          <w:sz w:val="20"/>
          <w:szCs w:val="20"/>
        </w:rPr>
        <w:t xml:space="preserve"> la Antigüedad C</w:t>
      </w:r>
      <w:r w:rsidR="002C3B9E" w:rsidRPr="00E43972">
        <w:rPr>
          <w:rFonts w:ascii="Verdana" w:hAnsi="Verdana" w:cs="Times New Roman"/>
          <w:sz w:val="20"/>
          <w:szCs w:val="20"/>
        </w:rPr>
        <w:t xml:space="preserve">lásica. </w:t>
      </w:r>
      <w:r w:rsidR="001B4ABB" w:rsidRPr="00E43972">
        <w:rPr>
          <w:rFonts w:ascii="Verdana" w:hAnsi="Verdana" w:cs="Times New Roman"/>
          <w:sz w:val="20"/>
          <w:szCs w:val="20"/>
        </w:rPr>
        <w:t xml:space="preserve">Por tal motivo, dicha editorial </w:t>
      </w:r>
      <w:r w:rsidR="00C030C7" w:rsidRPr="00E43972">
        <w:rPr>
          <w:rFonts w:ascii="Verdana" w:hAnsi="Verdana" w:cs="Times New Roman"/>
          <w:sz w:val="20"/>
          <w:szCs w:val="20"/>
        </w:rPr>
        <w:t xml:space="preserve">subraya únicamente las parcelas o rasgos </w:t>
      </w:r>
      <w:r w:rsidR="001B4ABB" w:rsidRPr="00E43972">
        <w:rPr>
          <w:rFonts w:ascii="Verdana" w:hAnsi="Verdana" w:cs="Times New Roman"/>
          <w:sz w:val="20"/>
          <w:szCs w:val="20"/>
        </w:rPr>
        <w:t>de la temática señalada</w:t>
      </w:r>
      <w:r w:rsidR="00C030C7" w:rsidRPr="00E43972">
        <w:rPr>
          <w:rFonts w:ascii="Verdana" w:hAnsi="Verdana" w:cs="Times New Roman"/>
          <w:sz w:val="20"/>
          <w:szCs w:val="20"/>
        </w:rPr>
        <w:t xml:space="preserve"> que permiten conservar los intereses del poder dominante</w:t>
      </w:r>
      <w:r w:rsidR="001B4ABB" w:rsidRPr="00E43972">
        <w:rPr>
          <w:rFonts w:ascii="Verdana" w:hAnsi="Verdana" w:cs="Times New Roman"/>
          <w:sz w:val="20"/>
          <w:szCs w:val="20"/>
        </w:rPr>
        <w:t>.</w:t>
      </w:r>
      <w:r w:rsidR="00C030C7" w:rsidRPr="00E43972">
        <w:rPr>
          <w:rFonts w:ascii="Verdana" w:hAnsi="Verdana" w:cs="Times New Roman"/>
          <w:sz w:val="20"/>
          <w:szCs w:val="20"/>
        </w:rPr>
        <w:t xml:space="preserve"> </w:t>
      </w:r>
      <w:r w:rsidR="00EF542E" w:rsidRPr="00E43972">
        <w:rPr>
          <w:rFonts w:ascii="Verdana" w:hAnsi="Verdana" w:cs="Times New Roman"/>
          <w:sz w:val="20"/>
          <w:szCs w:val="20"/>
        </w:rPr>
        <w:t>Esta disposición</w:t>
      </w:r>
      <w:r w:rsidR="00CF2DF9" w:rsidRPr="00E43972">
        <w:rPr>
          <w:rFonts w:ascii="Verdana" w:hAnsi="Verdana" w:cs="Times New Roman"/>
          <w:sz w:val="20"/>
          <w:szCs w:val="20"/>
        </w:rPr>
        <w:t xml:space="preserve"> conlleva a considerar el manual escolar como un vector generador de conflict</w:t>
      </w:r>
      <w:r w:rsidR="00424B0D" w:rsidRPr="00E43972">
        <w:rPr>
          <w:rFonts w:ascii="Verdana" w:hAnsi="Verdana" w:cs="Times New Roman"/>
          <w:sz w:val="20"/>
          <w:szCs w:val="20"/>
        </w:rPr>
        <w:t>ividad social, ya que promueve</w:t>
      </w:r>
      <w:r w:rsidR="00CF2DF9" w:rsidRPr="00E43972">
        <w:rPr>
          <w:rFonts w:ascii="Verdana" w:hAnsi="Verdana" w:cs="Times New Roman"/>
          <w:sz w:val="20"/>
          <w:szCs w:val="20"/>
        </w:rPr>
        <w:t xml:space="preserve"> la confluencia de la violencia simbólica contra las mujeres en diversos espacios de comunicación, como la escuela y la familia, lo cual produce constantes tensiones entre la normatividad curricular y la práctica escolar y la creciente disputa entre la visión histórica dominante y las aportaciones historiográficas emergentes que buscan posicionar el rol histórico de las figuras femeninas.  </w:t>
      </w:r>
    </w:p>
    <w:p w14:paraId="79610B77" w14:textId="6B3AC7D3" w:rsidR="00842A21" w:rsidRPr="00E43972" w:rsidRDefault="000F19E6" w:rsidP="003D1236">
      <w:pPr>
        <w:pStyle w:val="Sinespaciado"/>
        <w:spacing w:line="360" w:lineRule="auto"/>
        <w:jc w:val="both"/>
        <w:rPr>
          <w:rFonts w:ascii="Verdana" w:hAnsi="Verdana" w:cs="Times New Roman"/>
          <w:sz w:val="20"/>
          <w:szCs w:val="20"/>
        </w:rPr>
      </w:pPr>
      <w:r w:rsidRPr="00E43972">
        <w:rPr>
          <w:rFonts w:ascii="Verdana" w:hAnsi="Verdana" w:cs="Times New Roman"/>
          <w:sz w:val="20"/>
          <w:szCs w:val="20"/>
        </w:rPr>
        <w:t>Si bien no existen estudios q</w:t>
      </w:r>
      <w:r w:rsidR="00EE6673" w:rsidRPr="00E43972">
        <w:rPr>
          <w:rFonts w:ascii="Verdana" w:hAnsi="Verdana" w:cs="Times New Roman"/>
          <w:sz w:val="20"/>
          <w:szCs w:val="20"/>
        </w:rPr>
        <w:t xml:space="preserve">ue evidencien la </w:t>
      </w:r>
      <w:proofErr w:type="spellStart"/>
      <w:r w:rsidR="00EE6673" w:rsidRPr="00E43972">
        <w:rPr>
          <w:rFonts w:ascii="Verdana" w:hAnsi="Verdana" w:cs="Times New Roman"/>
          <w:sz w:val="20"/>
          <w:szCs w:val="20"/>
        </w:rPr>
        <w:t>invisibilizació</w:t>
      </w:r>
      <w:r w:rsidRPr="00E43972">
        <w:rPr>
          <w:rFonts w:ascii="Verdana" w:hAnsi="Verdana" w:cs="Times New Roman"/>
          <w:sz w:val="20"/>
          <w:szCs w:val="20"/>
        </w:rPr>
        <w:t>n</w:t>
      </w:r>
      <w:proofErr w:type="spellEnd"/>
      <w:r w:rsidRPr="00E43972">
        <w:rPr>
          <w:rFonts w:ascii="Verdana" w:hAnsi="Verdana" w:cs="Times New Roman"/>
          <w:sz w:val="20"/>
          <w:szCs w:val="20"/>
        </w:rPr>
        <w:t xml:space="preserve"> de la mujer en las unidades de Historia Antigua presentes en los manuales escolares chilenos, hay diversas investiga</w:t>
      </w:r>
      <w:r w:rsidR="00EF542E" w:rsidRPr="00E43972">
        <w:rPr>
          <w:rFonts w:ascii="Verdana" w:hAnsi="Verdana" w:cs="Times New Roman"/>
          <w:sz w:val="20"/>
          <w:szCs w:val="20"/>
        </w:rPr>
        <w:t xml:space="preserve">ciones que demuestran este rasgo </w:t>
      </w:r>
      <w:r w:rsidRPr="00E43972">
        <w:rPr>
          <w:rFonts w:ascii="Verdana" w:hAnsi="Verdana" w:cs="Times New Roman"/>
          <w:sz w:val="20"/>
          <w:szCs w:val="20"/>
        </w:rPr>
        <w:t>en ejes temáticos relacionados con la historia nacional.</w:t>
      </w:r>
      <w:r w:rsidR="00842A21" w:rsidRPr="00E43972">
        <w:rPr>
          <w:rFonts w:ascii="Verdana" w:hAnsi="Verdana" w:cs="Times New Roman"/>
          <w:sz w:val="20"/>
          <w:szCs w:val="20"/>
        </w:rPr>
        <w:t xml:space="preserve"> En este contexto, este trabajo, al igual que los estudios de Fernández (2010)</w:t>
      </w:r>
      <w:r w:rsidR="00C46FCD" w:rsidRPr="00E43972">
        <w:rPr>
          <w:rFonts w:ascii="Verdana" w:hAnsi="Verdana" w:cs="Times New Roman"/>
          <w:sz w:val="20"/>
          <w:szCs w:val="20"/>
        </w:rPr>
        <w:t xml:space="preserve"> y de </w:t>
      </w:r>
      <w:proofErr w:type="spellStart"/>
      <w:r w:rsidR="00C46FCD" w:rsidRPr="00E43972">
        <w:rPr>
          <w:rFonts w:ascii="Verdana" w:hAnsi="Verdana" w:cs="Times New Roman"/>
          <w:sz w:val="20"/>
          <w:szCs w:val="20"/>
        </w:rPr>
        <w:t>Minte</w:t>
      </w:r>
      <w:proofErr w:type="spellEnd"/>
      <w:r w:rsidR="00C46FCD" w:rsidRPr="00E43972">
        <w:rPr>
          <w:rFonts w:ascii="Verdana" w:hAnsi="Verdana" w:cs="Times New Roman"/>
          <w:sz w:val="20"/>
          <w:szCs w:val="20"/>
        </w:rPr>
        <w:t xml:space="preserve"> y González (2015)</w:t>
      </w:r>
      <w:r w:rsidR="00842A21" w:rsidRPr="00E43972">
        <w:rPr>
          <w:rFonts w:ascii="Verdana" w:hAnsi="Verdana" w:cs="Times New Roman"/>
          <w:sz w:val="20"/>
          <w:szCs w:val="20"/>
        </w:rPr>
        <w:t>, es concluyente en sostener que las representaciones de género en los textos de Historia, Geografía y Ciencias Sociales</w:t>
      </w:r>
      <w:r w:rsidR="005D2D96" w:rsidRPr="00E43972">
        <w:rPr>
          <w:rFonts w:ascii="Verdana" w:hAnsi="Verdana" w:cs="Times New Roman"/>
          <w:sz w:val="20"/>
          <w:szCs w:val="20"/>
        </w:rPr>
        <w:t xml:space="preserve"> se siguen caracterizando</w:t>
      </w:r>
      <w:r w:rsidR="00842A21" w:rsidRPr="00E43972">
        <w:rPr>
          <w:rFonts w:ascii="Verdana" w:hAnsi="Verdana" w:cs="Times New Roman"/>
          <w:sz w:val="20"/>
          <w:szCs w:val="20"/>
        </w:rPr>
        <w:t xml:space="preserve"> por </w:t>
      </w:r>
      <w:r w:rsidR="00993532" w:rsidRPr="00E43972">
        <w:rPr>
          <w:rFonts w:ascii="Verdana" w:hAnsi="Verdana" w:cs="Times New Roman"/>
          <w:sz w:val="20"/>
          <w:szCs w:val="20"/>
        </w:rPr>
        <w:t>la exclusión, la generalización y</w:t>
      </w:r>
      <w:r w:rsidR="00842A21" w:rsidRPr="00E43972">
        <w:rPr>
          <w:rFonts w:ascii="Verdana" w:hAnsi="Verdana" w:cs="Times New Roman"/>
          <w:sz w:val="20"/>
          <w:szCs w:val="20"/>
        </w:rPr>
        <w:t xml:space="preserve"> la</w:t>
      </w:r>
      <w:r w:rsidR="00993532" w:rsidRPr="00E43972">
        <w:rPr>
          <w:rFonts w:ascii="Verdana" w:hAnsi="Verdana" w:cs="Times New Roman"/>
          <w:sz w:val="20"/>
          <w:szCs w:val="20"/>
        </w:rPr>
        <w:t xml:space="preserve"> pasividad.</w:t>
      </w:r>
      <w:r w:rsidR="00842A21" w:rsidRPr="00E43972">
        <w:rPr>
          <w:rFonts w:ascii="Verdana" w:hAnsi="Verdana" w:cs="Times New Roman"/>
          <w:sz w:val="20"/>
          <w:szCs w:val="20"/>
        </w:rPr>
        <w:t xml:space="preserve"> </w:t>
      </w:r>
    </w:p>
    <w:p w14:paraId="54C8B9E8" w14:textId="7186476C" w:rsidR="00826712" w:rsidRPr="00E43972" w:rsidRDefault="00842A21" w:rsidP="003D1236">
      <w:pPr>
        <w:pStyle w:val="Sinespaciado"/>
        <w:spacing w:line="360" w:lineRule="auto"/>
        <w:jc w:val="both"/>
        <w:rPr>
          <w:rFonts w:ascii="Verdana" w:hAnsi="Verdana" w:cs="Times New Roman"/>
          <w:sz w:val="20"/>
          <w:szCs w:val="20"/>
        </w:rPr>
      </w:pPr>
      <w:r w:rsidRPr="00E43972">
        <w:rPr>
          <w:rFonts w:ascii="Verdana" w:hAnsi="Verdana" w:cs="Times New Roman"/>
          <w:sz w:val="20"/>
          <w:szCs w:val="20"/>
        </w:rPr>
        <w:t xml:space="preserve">De allí la importancia de resignificar el relato histórico </w:t>
      </w:r>
      <w:r w:rsidR="00757502" w:rsidRPr="00E43972">
        <w:rPr>
          <w:rFonts w:ascii="Verdana" w:hAnsi="Verdana" w:cs="Times New Roman"/>
          <w:sz w:val="20"/>
          <w:szCs w:val="20"/>
        </w:rPr>
        <w:t>androcéntrico</w:t>
      </w:r>
      <w:r w:rsidRPr="00E43972">
        <w:rPr>
          <w:rFonts w:ascii="Verdana" w:hAnsi="Verdana" w:cs="Times New Roman"/>
          <w:sz w:val="20"/>
          <w:szCs w:val="20"/>
        </w:rPr>
        <w:t xml:space="preserve"> que anula la capacidad de actuación de las mujeres en la historia, pues varias de ellas, de forma deliberante y con criterio propio, aportaron al desarrollo intelectual e histór</w:t>
      </w:r>
      <w:r w:rsidR="00757502" w:rsidRPr="00E43972">
        <w:rPr>
          <w:rFonts w:ascii="Verdana" w:hAnsi="Verdana" w:cs="Times New Roman"/>
          <w:sz w:val="20"/>
          <w:szCs w:val="20"/>
        </w:rPr>
        <w:t>ico de las sociedades pasadas y presentes</w:t>
      </w:r>
      <w:r w:rsidRPr="00E43972">
        <w:rPr>
          <w:rFonts w:ascii="Verdana" w:hAnsi="Verdana" w:cs="Times New Roman"/>
          <w:sz w:val="20"/>
          <w:szCs w:val="20"/>
        </w:rPr>
        <w:t xml:space="preserve">. </w:t>
      </w:r>
      <w:r w:rsidR="00CA4B9D" w:rsidRPr="00E43972">
        <w:rPr>
          <w:rFonts w:ascii="Verdana" w:hAnsi="Verdana" w:cs="Times New Roman"/>
          <w:sz w:val="20"/>
          <w:szCs w:val="20"/>
        </w:rPr>
        <w:t xml:space="preserve">Para lograr esta </w:t>
      </w:r>
      <w:proofErr w:type="spellStart"/>
      <w:r w:rsidR="00CA4B9D" w:rsidRPr="00E43972">
        <w:rPr>
          <w:rFonts w:ascii="Verdana" w:hAnsi="Verdana" w:cs="Times New Roman"/>
          <w:sz w:val="20"/>
          <w:szCs w:val="20"/>
        </w:rPr>
        <w:t>resignificación</w:t>
      </w:r>
      <w:proofErr w:type="spellEnd"/>
      <w:r w:rsidR="00CA4B9D" w:rsidRPr="00E43972">
        <w:rPr>
          <w:rFonts w:ascii="Verdana" w:hAnsi="Verdana" w:cs="Times New Roman"/>
          <w:sz w:val="20"/>
          <w:szCs w:val="20"/>
        </w:rPr>
        <w:t xml:space="preserve"> tan necesaria</w:t>
      </w:r>
      <w:r w:rsidR="006104AF" w:rsidRPr="00E43972">
        <w:rPr>
          <w:rFonts w:ascii="Verdana" w:hAnsi="Verdana" w:cs="Times New Roman"/>
          <w:sz w:val="20"/>
          <w:szCs w:val="20"/>
        </w:rPr>
        <w:t xml:space="preserve">, los profesores </w:t>
      </w:r>
      <w:r w:rsidR="00C54C95" w:rsidRPr="00E43972">
        <w:rPr>
          <w:rFonts w:ascii="Verdana" w:hAnsi="Verdana" w:cs="Times New Roman"/>
          <w:sz w:val="20"/>
          <w:szCs w:val="20"/>
        </w:rPr>
        <w:t xml:space="preserve">deben </w:t>
      </w:r>
      <w:r w:rsidR="006104AF" w:rsidRPr="00E43972">
        <w:rPr>
          <w:rFonts w:ascii="Verdana" w:hAnsi="Verdana" w:cs="Times New Roman"/>
          <w:sz w:val="20"/>
          <w:szCs w:val="20"/>
        </w:rPr>
        <w:t>cuestionar, en perspectiva histórica, los textos escolares al momento de enseñar la asignatura a sus alumnos, lo que, sin duda, disminuirá el potencial riesgo de transmitir estereotipos de género que contribuyan a negar la i</w:t>
      </w:r>
      <w:r w:rsidR="00C47C5E" w:rsidRPr="00E43972">
        <w:rPr>
          <w:rFonts w:ascii="Verdana" w:hAnsi="Verdana" w:cs="Times New Roman"/>
          <w:sz w:val="20"/>
          <w:szCs w:val="20"/>
        </w:rPr>
        <w:t xml:space="preserve">mportancia del rol femenino </w:t>
      </w:r>
      <w:r w:rsidR="00757502" w:rsidRPr="00E43972">
        <w:rPr>
          <w:rFonts w:ascii="Verdana" w:hAnsi="Verdana" w:cs="Times New Roman"/>
          <w:sz w:val="20"/>
          <w:szCs w:val="20"/>
        </w:rPr>
        <w:t>en la actualidad</w:t>
      </w:r>
      <w:r w:rsidR="00C5524E" w:rsidRPr="00E43972">
        <w:rPr>
          <w:rFonts w:ascii="Verdana" w:hAnsi="Verdana" w:cs="Times New Roman"/>
          <w:sz w:val="20"/>
          <w:szCs w:val="20"/>
        </w:rPr>
        <w:t xml:space="preserve">. </w:t>
      </w:r>
      <w:r w:rsidR="00A96902" w:rsidRPr="00E43972">
        <w:rPr>
          <w:rFonts w:ascii="Verdana" w:hAnsi="Verdana" w:cs="Times New Roman"/>
          <w:sz w:val="20"/>
          <w:szCs w:val="20"/>
        </w:rPr>
        <w:t xml:space="preserve">Para ello, es fundamental que el profesor </w:t>
      </w:r>
      <w:r w:rsidR="00CA4B9D" w:rsidRPr="00E43972">
        <w:rPr>
          <w:rFonts w:ascii="Verdana" w:hAnsi="Verdana" w:cs="Times New Roman"/>
          <w:sz w:val="20"/>
          <w:szCs w:val="20"/>
        </w:rPr>
        <w:t xml:space="preserve">promueva el pensamiento histórico en los estudiantes, </w:t>
      </w:r>
      <w:r w:rsidR="00A96902" w:rsidRPr="00E43972">
        <w:rPr>
          <w:rFonts w:ascii="Verdana" w:hAnsi="Verdana" w:cs="Times New Roman"/>
          <w:sz w:val="20"/>
          <w:szCs w:val="20"/>
        </w:rPr>
        <w:t xml:space="preserve">renueve </w:t>
      </w:r>
      <w:r w:rsidR="00826712" w:rsidRPr="00E43972">
        <w:rPr>
          <w:rFonts w:ascii="Verdana" w:hAnsi="Verdana" w:cs="Times New Roman"/>
          <w:sz w:val="20"/>
          <w:szCs w:val="20"/>
        </w:rPr>
        <w:lastRenderedPageBreak/>
        <w:t xml:space="preserve">constantemente sus estrategias didácticas y </w:t>
      </w:r>
      <w:r w:rsidR="00A96902" w:rsidRPr="00E43972">
        <w:rPr>
          <w:rFonts w:ascii="Verdana" w:hAnsi="Verdana" w:cs="Times New Roman"/>
          <w:sz w:val="20"/>
          <w:szCs w:val="20"/>
        </w:rPr>
        <w:t xml:space="preserve">se mantenga actualizado sobre </w:t>
      </w:r>
      <w:r w:rsidR="00826712" w:rsidRPr="00E43972">
        <w:rPr>
          <w:rFonts w:ascii="Verdana" w:hAnsi="Verdana" w:cs="Times New Roman"/>
          <w:sz w:val="20"/>
          <w:szCs w:val="20"/>
        </w:rPr>
        <w:t xml:space="preserve">las últimas aportaciones historiográficas de los contenidos a enseñar. </w:t>
      </w:r>
    </w:p>
    <w:p w14:paraId="1D45775E" w14:textId="725E60B3" w:rsidR="00051392" w:rsidRPr="001A2C49" w:rsidRDefault="006104AF" w:rsidP="00E43972">
      <w:pPr>
        <w:pStyle w:val="Sinespaciado"/>
        <w:spacing w:line="360" w:lineRule="auto"/>
        <w:jc w:val="both"/>
        <w:rPr>
          <w:rFonts w:ascii="Verdana" w:hAnsi="Verdana" w:cs="Times New Roman"/>
          <w:sz w:val="20"/>
          <w:szCs w:val="20"/>
        </w:rPr>
      </w:pPr>
      <w:r w:rsidRPr="001A2C49">
        <w:rPr>
          <w:rFonts w:ascii="Verdana" w:hAnsi="Verdana" w:cs="Times New Roman"/>
          <w:sz w:val="20"/>
          <w:szCs w:val="20"/>
        </w:rPr>
        <w:t xml:space="preserve">Por último, </w:t>
      </w:r>
      <w:r w:rsidR="00C54C95" w:rsidRPr="001A2C49">
        <w:rPr>
          <w:rFonts w:ascii="Verdana" w:hAnsi="Verdana" w:cs="Times New Roman"/>
          <w:sz w:val="20"/>
          <w:szCs w:val="20"/>
        </w:rPr>
        <w:t xml:space="preserve">se pone </w:t>
      </w:r>
      <w:r w:rsidRPr="001A2C49">
        <w:rPr>
          <w:rFonts w:ascii="Verdana" w:hAnsi="Verdana" w:cs="Times New Roman"/>
          <w:sz w:val="20"/>
          <w:szCs w:val="20"/>
        </w:rPr>
        <w:t>de manifiesto la necesidad de proseguir con la realización de nuevas investig</w:t>
      </w:r>
      <w:r w:rsidR="009604F6" w:rsidRPr="001A2C49">
        <w:rPr>
          <w:rFonts w:ascii="Verdana" w:hAnsi="Verdana" w:cs="Times New Roman"/>
          <w:sz w:val="20"/>
          <w:szCs w:val="20"/>
        </w:rPr>
        <w:t>aciones que profundicen</w:t>
      </w:r>
      <w:r w:rsidRPr="001A2C49">
        <w:rPr>
          <w:rFonts w:ascii="Verdana" w:hAnsi="Verdana" w:cs="Times New Roman"/>
          <w:sz w:val="20"/>
          <w:szCs w:val="20"/>
        </w:rPr>
        <w:t xml:space="preserve"> </w:t>
      </w:r>
      <w:r w:rsidR="00C14F7A" w:rsidRPr="001A2C49">
        <w:rPr>
          <w:rFonts w:ascii="Verdana" w:hAnsi="Verdana" w:cs="Times New Roman"/>
          <w:sz w:val="20"/>
          <w:szCs w:val="20"/>
        </w:rPr>
        <w:t>en l</w:t>
      </w:r>
      <w:r w:rsidR="009604F6" w:rsidRPr="001A2C49">
        <w:rPr>
          <w:rFonts w:ascii="Verdana" w:hAnsi="Verdana" w:cs="Times New Roman"/>
          <w:sz w:val="20"/>
          <w:szCs w:val="20"/>
        </w:rPr>
        <w:t xml:space="preserve">a temática y </w:t>
      </w:r>
      <w:r w:rsidR="001A2C49" w:rsidRPr="001A2C49">
        <w:rPr>
          <w:rFonts w:ascii="Verdana" w:hAnsi="Verdana" w:cs="Times New Roman"/>
          <w:sz w:val="20"/>
          <w:szCs w:val="20"/>
        </w:rPr>
        <w:t xml:space="preserve">que </w:t>
      </w:r>
      <w:r w:rsidR="009604F6" w:rsidRPr="001A2C49">
        <w:rPr>
          <w:rFonts w:ascii="Verdana" w:hAnsi="Verdana" w:cs="Times New Roman"/>
          <w:sz w:val="20"/>
          <w:szCs w:val="20"/>
        </w:rPr>
        <w:t>motiven el replanteamiento</w:t>
      </w:r>
      <w:r w:rsidR="00C14F7A" w:rsidRPr="001A2C49">
        <w:rPr>
          <w:rFonts w:ascii="Verdana" w:hAnsi="Verdana" w:cs="Times New Roman"/>
          <w:sz w:val="20"/>
          <w:szCs w:val="20"/>
        </w:rPr>
        <w:t xml:space="preserve"> </w:t>
      </w:r>
      <w:r w:rsidR="009604F6" w:rsidRPr="001A2C49">
        <w:rPr>
          <w:rFonts w:ascii="Verdana" w:hAnsi="Verdana" w:cs="Times New Roman"/>
          <w:sz w:val="20"/>
          <w:szCs w:val="20"/>
        </w:rPr>
        <w:t xml:space="preserve">de </w:t>
      </w:r>
      <w:r w:rsidR="00C14F7A" w:rsidRPr="001A2C49">
        <w:rPr>
          <w:rFonts w:ascii="Verdana" w:hAnsi="Verdana" w:cs="Times New Roman"/>
          <w:sz w:val="20"/>
          <w:szCs w:val="20"/>
        </w:rPr>
        <w:t xml:space="preserve">las disposiciones </w:t>
      </w:r>
      <w:r w:rsidR="002749F9" w:rsidRPr="001A2C49">
        <w:rPr>
          <w:rFonts w:ascii="Verdana" w:hAnsi="Verdana" w:cs="Times New Roman"/>
          <w:sz w:val="20"/>
          <w:szCs w:val="20"/>
        </w:rPr>
        <w:t xml:space="preserve">oficiales </w:t>
      </w:r>
      <w:r w:rsidR="00C14F7A" w:rsidRPr="001A2C49">
        <w:rPr>
          <w:rFonts w:ascii="Verdana" w:hAnsi="Verdana" w:cs="Times New Roman"/>
          <w:sz w:val="20"/>
          <w:szCs w:val="20"/>
        </w:rPr>
        <w:t xml:space="preserve">del </w:t>
      </w:r>
      <w:r w:rsidR="00757502" w:rsidRPr="001A2C49">
        <w:rPr>
          <w:rFonts w:ascii="Verdana" w:hAnsi="Verdana" w:cs="Times New Roman"/>
          <w:sz w:val="20"/>
          <w:szCs w:val="20"/>
        </w:rPr>
        <w:t>M</w:t>
      </w:r>
      <w:r w:rsidR="007F693D" w:rsidRPr="001A2C49">
        <w:rPr>
          <w:rFonts w:ascii="Verdana" w:hAnsi="Verdana" w:cs="Times New Roman"/>
          <w:sz w:val="20"/>
          <w:szCs w:val="20"/>
        </w:rPr>
        <w:t>INEDUC</w:t>
      </w:r>
      <w:r w:rsidR="00B24551" w:rsidRPr="001A2C49">
        <w:rPr>
          <w:rFonts w:ascii="Verdana" w:hAnsi="Verdana" w:cs="Times New Roman"/>
          <w:sz w:val="20"/>
          <w:szCs w:val="20"/>
        </w:rPr>
        <w:t xml:space="preserve"> en los manuales</w:t>
      </w:r>
      <w:r w:rsidR="00814035" w:rsidRPr="001A2C49">
        <w:rPr>
          <w:rFonts w:ascii="Verdana" w:hAnsi="Verdana" w:cs="Times New Roman"/>
          <w:sz w:val="20"/>
          <w:szCs w:val="20"/>
        </w:rPr>
        <w:t xml:space="preserve"> de Historia, Geografía y Ciencias Sociales</w:t>
      </w:r>
      <w:r w:rsidR="00B24551" w:rsidRPr="001A2C49">
        <w:rPr>
          <w:rFonts w:ascii="Verdana" w:hAnsi="Verdana" w:cs="Times New Roman"/>
          <w:sz w:val="20"/>
          <w:szCs w:val="20"/>
        </w:rPr>
        <w:t xml:space="preserve"> para que se conviertan en</w:t>
      </w:r>
      <w:r w:rsidR="00C14F7A" w:rsidRPr="001A2C49">
        <w:rPr>
          <w:rFonts w:ascii="Verdana" w:hAnsi="Verdana" w:cs="Times New Roman"/>
          <w:sz w:val="20"/>
          <w:szCs w:val="20"/>
        </w:rPr>
        <w:t xml:space="preserve"> portadores de conocimientos historiográfic</w:t>
      </w:r>
      <w:r w:rsidR="00467159" w:rsidRPr="001A2C49">
        <w:rPr>
          <w:rFonts w:ascii="Verdana" w:hAnsi="Verdana" w:cs="Times New Roman"/>
          <w:sz w:val="20"/>
          <w:szCs w:val="20"/>
        </w:rPr>
        <w:t>o</w:t>
      </w:r>
      <w:r w:rsidR="00C14F7A" w:rsidRPr="001A2C49">
        <w:rPr>
          <w:rFonts w:ascii="Verdana" w:hAnsi="Verdana" w:cs="Times New Roman"/>
          <w:sz w:val="20"/>
          <w:szCs w:val="20"/>
        </w:rPr>
        <w:t xml:space="preserve">s </w:t>
      </w:r>
      <w:r w:rsidR="00214D0E" w:rsidRPr="001A2C49">
        <w:rPr>
          <w:rFonts w:ascii="Verdana" w:hAnsi="Verdana" w:cs="Times New Roman"/>
          <w:sz w:val="20"/>
          <w:szCs w:val="20"/>
        </w:rPr>
        <w:t>actualizados</w:t>
      </w:r>
      <w:r w:rsidR="002749F9" w:rsidRPr="001A2C49">
        <w:rPr>
          <w:rFonts w:ascii="Verdana" w:hAnsi="Verdana" w:cs="Times New Roman"/>
          <w:sz w:val="20"/>
          <w:szCs w:val="20"/>
        </w:rPr>
        <w:t xml:space="preserve"> e innovadores</w:t>
      </w:r>
      <w:r w:rsidR="00C14F7A" w:rsidRPr="001A2C49">
        <w:rPr>
          <w:rFonts w:ascii="Verdana" w:hAnsi="Verdana" w:cs="Times New Roman"/>
          <w:sz w:val="20"/>
          <w:szCs w:val="20"/>
        </w:rPr>
        <w:t xml:space="preserve"> y en</w:t>
      </w:r>
      <w:r w:rsidR="00B24551" w:rsidRPr="001A2C49">
        <w:rPr>
          <w:rFonts w:ascii="Verdana" w:hAnsi="Verdana" w:cs="Times New Roman"/>
          <w:sz w:val="20"/>
          <w:szCs w:val="20"/>
        </w:rPr>
        <w:t xml:space="preserve"> </w:t>
      </w:r>
      <w:r w:rsidR="00C14F7A" w:rsidRPr="001A2C49">
        <w:rPr>
          <w:rFonts w:ascii="Verdana" w:hAnsi="Verdana" w:cs="Times New Roman"/>
          <w:sz w:val="20"/>
          <w:szCs w:val="20"/>
        </w:rPr>
        <w:t xml:space="preserve">insumos que estén al servicio del aprendizaje activo y crítico del </w:t>
      </w:r>
      <w:r w:rsidR="00E43972" w:rsidRPr="001A2C49">
        <w:rPr>
          <w:rFonts w:ascii="Verdana" w:hAnsi="Verdana" w:cs="Times New Roman"/>
          <w:sz w:val="20"/>
          <w:szCs w:val="20"/>
        </w:rPr>
        <w:t>alumnado.</w:t>
      </w:r>
    </w:p>
    <w:p w14:paraId="6664D676" w14:textId="77777777" w:rsidR="00E43972" w:rsidRPr="00E43972" w:rsidRDefault="00E43972" w:rsidP="00E43972">
      <w:pPr>
        <w:pStyle w:val="Sinespaciado"/>
        <w:spacing w:line="360" w:lineRule="auto"/>
        <w:jc w:val="both"/>
        <w:rPr>
          <w:rFonts w:ascii="Verdana" w:hAnsi="Verdana" w:cs="Times New Roman"/>
          <w:b/>
          <w:sz w:val="20"/>
          <w:szCs w:val="20"/>
        </w:rPr>
      </w:pPr>
    </w:p>
    <w:p w14:paraId="2C660B53" w14:textId="1D13D7AB" w:rsidR="009A18E6" w:rsidRPr="00051392" w:rsidRDefault="009A18E6" w:rsidP="009A18E6">
      <w:pPr>
        <w:pStyle w:val="Sinespaciado"/>
        <w:spacing w:line="360" w:lineRule="auto"/>
        <w:jc w:val="both"/>
        <w:rPr>
          <w:rFonts w:ascii="Verdana" w:hAnsi="Verdana" w:cs="Arial"/>
          <w:sz w:val="20"/>
          <w:szCs w:val="20"/>
        </w:rPr>
      </w:pPr>
      <w:r w:rsidRPr="009A18E6">
        <w:rPr>
          <w:rFonts w:ascii="Verdana" w:hAnsi="Verdana"/>
          <w:b/>
          <w:iCs/>
          <w:sz w:val="20"/>
          <w:szCs w:val="20"/>
        </w:rPr>
        <w:t>REFERENCIAS BIBLIOGRÁFICAS</w:t>
      </w:r>
    </w:p>
    <w:p w14:paraId="0FA9A12D" w14:textId="58EC32FB" w:rsidR="009A18E6" w:rsidRPr="009A18E6" w:rsidRDefault="009A18E6" w:rsidP="009A18E6">
      <w:pPr>
        <w:pStyle w:val="Sinespaciado"/>
        <w:spacing w:line="360" w:lineRule="auto"/>
        <w:jc w:val="both"/>
        <w:rPr>
          <w:rFonts w:ascii="Verdana" w:hAnsi="Verdana"/>
          <w:sz w:val="20"/>
          <w:szCs w:val="20"/>
          <w:lang w:val="es-CL"/>
        </w:rPr>
      </w:pPr>
    </w:p>
    <w:p w14:paraId="79990539" w14:textId="4252E770" w:rsidR="009A18E6" w:rsidRPr="009A18E6" w:rsidRDefault="009A18E6" w:rsidP="009A18E6">
      <w:pPr>
        <w:pStyle w:val="Sinespaciado"/>
        <w:spacing w:line="360" w:lineRule="auto"/>
        <w:jc w:val="both"/>
        <w:rPr>
          <w:rFonts w:ascii="Verdana" w:hAnsi="Verdana"/>
          <w:sz w:val="20"/>
          <w:szCs w:val="20"/>
        </w:rPr>
      </w:pPr>
      <w:r w:rsidRPr="009A18E6">
        <w:rPr>
          <w:rFonts w:ascii="Verdana" w:hAnsi="Verdana"/>
          <w:sz w:val="20"/>
          <w:szCs w:val="20"/>
        </w:rPr>
        <w:t>C</w:t>
      </w:r>
      <w:r w:rsidR="0048648D">
        <w:rPr>
          <w:rFonts w:ascii="Verdana" w:hAnsi="Verdana"/>
          <w:sz w:val="20"/>
          <w:szCs w:val="20"/>
        </w:rPr>
        <w:t>id</w:t>
      </w:r>
      <w:r w:rsidRPr="009A18E6">
        <w:rPr>
          <w:rFonts w:ascii="Verdana" w:hAnsi="Verdana"/>
          <w:sz w:val="20"/>
          <w:szCs w:val="20"/>
        </w:rPr>
        <w:t>, R. (2015). El género y los estudios históricos sobre las mujeres de la Antigüedad. Reflexiones sobre los usos y evolución de un concepto</w:t>
      </w:r>
      <w:r w:rsidR="0048648D">
        <w:rPr>
          <w:rFonts w:ascii="Verdana" w:hAnsi="Verdana"/>
          <w:sz w:val="20"/>
          <w:szCs w:val="20"/>
        </w:rPr>
        <w:t>.</w:t>
      </w:r>
      <w:r w:rsidRPr="009A18E6">
        <w:rPr>
          <w:rFonts w:ascii="Verdana" w:hAnsi="Verdana"/>
          <w:sz w:val="20"/>
          <w:szCs w:val="20"/>
        </w:rPr>
        <w:t xml:space="preserve"> </w:t>
      </w:r>
      <w:r w:rsidRPr="0048648D">
        <w:rPr>
          <w:rFonts w:ascii="Verdana" w:hAnsi="Verdana"/>
          <w:i/>
          <w:sz w:val="20"/>
          <w:szCs w:val="20"/>
        </w:rPr>
        <w:t>Revista de Historiografía</w:t>
      </w:r>
      <w:r w:rsidR="0048648D">
        <w:rPr>
          <w:rFonts w:ascii="Verdana" w:hAnsi="Verdana"/>
          <w:sz w:val="20"/>
          <w:szCs w:val="20"/>
        </w:rPr>
        <w:t>,</w:t>
      </w:r>
      <w:r w:rsidRPr="009A18E6">
        <w:rPr>
          <w:rFonts w:ascii="Verdana" w:hAnsi="Verdana"/>
          <w:sz w:val="20"/>
          <w:szCs w:val="20"/>
        </w:rPr>
        <w:t xml:space="preserve"> </w:t>
      </w:r>
      <w:r w:rsidR="0048648D">
        <w:rPr>
          <w:rFonts w:ascii="Verdana" w:hAnsi="Verdana"/>
          <w:sz w:val="20"/>
          <w:szCs w:val="20"/>
        </w:rPr>
        <w:t>(</w:t>
      </w:r>
      <w:r w:rsidRPr="009A18E6">
        <w:rPr>
          <w:rFonts w:ascii="Verdana" w:hAnsi="Verdana"/>
          <w:sz w:val="20"/>
          <w:szCs w:val="20"/>
        </w:rPr>
        <w:t>22</w:t>
      </w:r>
      <w:r w:rsidR="0048648D">
        <w:rPr>
          <w:rFonts w:ascii="Verdana" w:hAnsi="Verdana"/>
          <w:sz w:val="20"/>
          <w:szCs w:val="20"/>
        </w:rPr>
        <w:t>)</w:t>
      </w:r>
      <w:r w:rsidRPr="009A18E6">
        <w:rPr>
          <w:rFonts w:ascii="Verdana" w:hAnsi="Verdana"/>
          <w:sz w:val="20"/>
          <w:szCs w:val="20"/>
        </w:rPr>
        <w:t>, 25-49.</w:t>
      </w:r>
    </w:p>
    <w:p w14:paraId="7E6A5FA7" w14:textId="793925B9" w:rsidR="009A18E6" w:rsidRDefault="009A18E6" w:rsidP="009A18E6">
      <w:pPr>
        <w:pStyle w:val="Sinespaciado"/>
        <w:spacing w:line="360" w:lineRule="auto"/>
        <w:jc w:val="both"/>
        <w:rPr>
          <w:rFonts w:ascii="Verdana" w:hAnsi="Verdana"/>
          <w:sz w:val="20"/>
          <w:szCs w:val="20"/>
          <w:lang w:val="es-CL"/>
        </w:rPr>
      </w:pPr>
    </w:p>
    <w:p w14:paraId="20691D73" w14:textId="1B6F90F1" w:rsidR="00C46FCD" w:rsidRPr="00E25D8D" w:rsidRDefault="00E25D8D" w:rsidP="00E25D8D">
      <w:pPr>
        <w:pBdr>
          <w:top w:val="nil"/>
          <w:left w:val="nil"/>
          <w:bottom w:val="nil"/>
          <w:right w:val="nil"/>
          <w:between w:val="nil"/>
        </w:pBdr>
        <w:spacing w:after="0" w:line="360" w:lineRule="auto"/>
        <w:jc w:val="both"/>
        <w:rPr>
          <w:rFonts w:ascii="Verdana" w:eastAsia="Times New Roman" w:hAnsi="Verdana" w:cs="Times New Roman"/>
          <w:color w:val="000000"/>
          <w:sz w:val="20"/>
          <w:szCs w:val="20"/>
        </w:rPr>
      </w:pPr>
      <w:r w:rsidRPr="00E25D8D">
        <w:rPr>
          <w:rFonts w:ascii="Verdana" w:eastAsia="Times New Roman" w:hAnsi="Verdana" w:cs="Times New Roman"/>
          <w:color w:val="000000"/>
          <w:sz w:val="20"/>
          <w:szCs w:val="20"/>
        </w:rPr>
        <w:t>Fernández,</w:t>
      </w:r>
      <w:r w:rsidR="00C46FCD" w:rsidRPr="00E25D8D">
        <w:rPr>
          <w:rFonts w:ascii="Verdana" w:eastAsia="Times New Roman" w:hAnsi="Verdana" w:cs="Times New Roman"/>
          <w:color w:val="000000"/>
          <w:sz w:val="20"/>
          <w:szCs w:val="20"/>
        </w:rPr>
        <w:t xml:space="preserve"> M.</w:t>
      </w:r>
      <w:r w:rsidRPr="00E25D8D">
        <w:rPr>
          <w:rFonts w:ascii="Verdana" w:eastAsia="Times New Roman" w:hAnsi="Verdana" w:cs="Times New Roman"/>
          <w:color w:val="000000"/>
          <w:sz w:val="20"/>
          <w:szCs w:val="20"/>
        </w:rPr>
        <w:t xml:space="preserve"> (2010).</w:t>
      </w:r>
      <w:r w:rsidR="00C46FCD" w:rsidRPr="00E25D8D">
        <w:rPr>
          <w:rFonts w:ascii="Verdana" w:eastAsia="Times New Roman" w:hAnsi="Verdana" w:cs="Times New Roman"/>
          <w:color w:val="FF0000"/>
          <w:sz w:val="20"/>
          <w:szCs w:val="20"/>
        </w:rPr>
        <w:t xml:space="preserve"> </w:t>
      </w:r>
      <w:r w:rsidR="00C46FCD" w:rsidRPr="00E25D8D">
        <w:rPr>
          <w:rFonts w:ascii="Verdana" w:eastAsia="Times New Roman" w:hAnsi="Verdana" w:cs="Times New Roman"/>
          <w:color w:val="000000"/>
          <w:sz w:val="20"/>
          <w:szCs w:val="20"/>
        </w:rPr>
        <w:t xml:space="preserve">Las mujeres en el discurso pedagógico de la historia. Exclusiones, silencios y olvidos. </w:t>
      </w:r>
      <w:proofErr w:type="spellStart"/>
      <w:r w:rsidR="00C46FCD" w:rsidRPr="00E25D8D">
        <w:rPr>
          <w:rFonts w:ascii="Verdana" w:eastAsia="Times New Roman" w:hAnsi="Verdana" w:cs="Times New Roman"/>
          <w:i/>
          <w:color w:val="000000"/>
          <w:sz w:val="20"/>
          <w:szCs w:val="20"/>
        </w:rPr>
        <w:t>Universum</w:t>
      </w:r>
      <w:proofErr w:type="spellEnd"/>
      <w:r w:rsidR="00C46FCD" w:rsidRPr="00E25D8D">
        <w:rPr>
          <w:rFonts w:ascii="Verdana" w:eastAsia="Times New Roman" w:hAnsi="Verdana" w:cs="Times New Roman"/>
          <w:i/>
          <w:color w:val="000000"/>
          <w:sz w:val="20"/>
          <w:szCs w:val="20"/>
        </w:rPr>
        <w:t>,</w:t>
      </w:r>
      <w:r w:rsidRPr="00E25D8D">
        <w:rPr>
          <w:rFonts w:ascii="Verdana" w:eastAsia="Times New Roman" w:hAnsi="Verdana" w:cs="Times New Roman"/>
          <w:i/>
          <w:color w:val="000000"/>
          <w:sz w:val="20"/>
          <w:szCs w:val="20"/>
        </w:rPr>
        <w:t xml:space="preserve"> 25</w:t>
      </w:r>
      <w:r w:rsidRPr="00E25D8D">
        <w:rPr>
          <w:rFonts w:ascii="Verdana" w:eastAsia="Times New Roman" w:hAnsi="Verdana" w:cs="Times New Roman"/>
          <w:color w:val="000000"/>
          <w:sz w:val="20"/>
          <w:szCs w:val="20"/>
        </w:rPr>
        <w:t>(1),</w:t>
      </w:r>
      <w:r w:rsidR="00C46FCD" w:rsidRPr="00E25D8D">
        <w:rPr>
          <w:rFonts w:ascii="Verdana" w:eastAsia="Times New Roman" w:hAnsi="Verdana" w:cs="Times New Roman"/>
          <w:i/>
          <w:color w:val="000000"/>
          <w:sz w:val="20"/>
          <w:szCs w:val="20"/>
        </w:rPr>
        <w:t xml:space="preserve"> </w:t>
      </w:r>
      <w:r w:rsidRPr="00E25D8D">
        <w:rPr>
          <w:rFonts w:ascii="Verdana" w:eastAsia="Times New Roman" w:hAnsi="Verdana" w:cs="Times New Roman"/>
          <w:color w:val="000000"/>
          <w:sz w:val="20"/>
          <w:szCs w:val="20"/>
        </w:rPr>
        <w:t>84-99</w:t>
      </w:r>
      <w:r w:rsidR="00C46FCD" w:rsidRPr="00E25D8D">
        <w:rPr>
          <w:rFonts w:ascii="Verdana" w:eastAsia="Times New Roman" w:hAnsi="Verdana" w:cs="Times New Roman"/>
          <w:color w:val="000000"/>
          <w:sz w:val="20"/>
          <w:szCs w:val="20"/>
        </w:rPr>
        <w:t>.</w:t>
      </w:r>
      <w:r w:rsidR="006953A6">
        <w:rPr>
          <w:rFonts w:ascii="Verdana" w:eastAsia="Times New Roman" w:hAnsi="Verdana" w:cs="Times New Roman"/>
          <w:color w:val="000000"/>
          <w:sz w:val="20"/>
          <w:szCs w:val="20"/>
        </w:rPr>
        <w:t xml:space="preserve"> </w:t>
      </w:r>
      <w:r w:rsidR="006953A6" w:rsidRPr="006953A6">
        <w:rPr>
          <w:rFonts w:ascii="Verdana" w:eastAsia="Times New Roman" w:hAnsi="Verdana" w:cs="Times New Roman"/>
          <w:color w:val="000000"/>
          <w:sz w:val="20"/>
          <w:szCs w:val="20"/>
        </w:rPr>
        <w:t>http://dx.doi.org/10.4067/S0718-23762010000100007</w:t>
      </w:r>
    </w:p>
    <w:p w14:paraId="2CFC4858" w14:textId="77777777" w:rsidR="00C46FCD" w:rsidRPr="009A18E6" w:rsidRDefault="00C46FCD" w:rsidP="009A18E6">
      <w:pPr>
        <w:pStyle w:val="Sinespaciado"/>
        <w:spacing w:line="360" w:lineRule="auto"/>
        <w:jc w:val="both"/>
        <w:rPr>
          <w:rFonts w:ascii="Verdana" w:hAnsi="Verdana"/>
          <w:sz w:val="20"/>
          <w:szCs w:val="20"/>
          <w:lang w:val="es-CL"/>
        </w:rPr>
      </w:pPr>
    </w:p>
    <w:p w14:paraId="51E484ED" w14:textId="0F34F869" w:rsidR="009A18E6" w:rsidRDefault="009A18E6" w:rsidP="009A18E6">
      <w:pPr>
        <w:pStyle w:val="Sinespaciado"/>
        <w:spacing w:line="360" w:lineRule="auto"/>
        <w:jc w:val="both"/>
        <w:rPr>
          <w:rFonts w:ascii="Verdana" w:hAnsi="Verdana"/>
          <w:sz w:val="20"/>
          <w:szCs w:val="20"/>
          <w:lang w:val="es-CL"/>
        </w:rPr>
      </w:pPr>
      <w:r w:rsidRPr="0033494B">
        <w:rPr>
          <w:rFonts w:ascii="Verdana" w:hAnsi="Verdana"/>
          <w:sz w:val="20"/>
          <w:szCs w:val="20"/>
          <w:lang w:val="en-US"/>
        </w:rPr>
        <w:t>F</w:t>
      </w:r>
      <w:r w:rsidR="0048648D" w:rsidRPr="0033494B">
        <w:rPr>
          <w:rFonts w:ascii="Verdana" w:hAnsi="Verdana"/>
          <w:sz w:val="20"/>
          <w:szCs w:val="20"/>
          <w:lang w:val="en-US"/>
        </w:rPr>
        <w:t>eu</w:t>
      </w:r>
      <w:r w:rsidRPr="0033494B">
        <w:rPr>
          <w:rFonts w:ascii="Verdana" w:hAnsi="Verdana"/>
          <w:sz w:val="20"/>
          <w:szCs w:val="20"/>
          <w:lang w:val="en-US"/>
        </w:rPr>
        <w:t>, J. &amp;</w:t>
      </w:r>
      <w:r w:rsidR="0048648D" w:rsidRPr="0033494B">
        <w:rPr>
          <w:rFonts w:ascii="Verdana" w:hAnsi="Verdana"/>
          <w:sz w:val="20"/>
          <w:szCs w:val="20"/>
          <w:lang w:val="en-US"/>
        </w:rPr>
        <w:t xml:space="preserve"> Abril</w:t>
      </w:r>
      <w:r w:rsidRPr="0033494B">
        <w:rPr>
          <w:rFonts w:ascii="Verdana" w:hAnsi="Verdana"/>
          <w:sz w:val="20"/>
          <w:szCs w:val="20"/>
          <w:lang w:val="en-US"/>
        </w:rPr>
        <w:t>, P. (2020). Gender perspective as a dimension of democracy in schools</w:t>
      </w:r>
      <w:r w:rsidR="0048648D" w:rsidRPr="0033494B">
        <w:rPr>
          <w:rFonts w:ascii="Verdana" w:hAnsi="Verdana"/>
          <w:sz w:val="20"/>
          <w:szCs w:val="20"/>
          <w:lang w:val="en-US"/>
        </w:rPr>
        <w:t>.</w:t>
      </w:r>
      <w:r w:rsidRPr="0033494B">
        <w:rPr>
          <w:rFonts w:ascii="Verdana" w:hAnsi="Verdana"/>
          <w:sz w:val="20"/>
          <w:szCs w:val="20"/>
          <w:lang w:val="en-US"/>
        </w:rPr>
        <w:t xml:space="preserve"> </w:t>
      </w:r>
      <w:r w:rsidRPr="0048648D">
        <w:rPr>
          <w:rFonts w:ascii="Verdana" w:hAnsi="Verdana"/>
          <w:i/>
          <w:sz w:val="20"/>
          <w:szCs w:val="20"/>
          <w:lang w:val="es-CL"/>
        </w:rPr>
        <w:t>Profesorado. Revista de Currículum y Formación de Profesorado</w:t>
      </w:r>
      <w:r w:rsidR="0048648D" w:rsidRPr="0048648D">
        <w:rPr>
          <w:rFonts w:ascii="Verdana" w:hAnsi="Verdana"/>
          <w:i/>
          <w:sz w:val="20"/>
          <w:szCs w:val="20"/>
          <w:lang w:val="es-CL"/>
        </w:rPr>
        <w:t>, 24</w:t>
      </w:r>
      <w:r w:rsidR="0048648D">
        <w:rPr>
          <w:rFonts w:ascii="Verdana" w:hAnsi="Verdana"/>
          <w:sz w:val="20"/>
          <w:szCs w:val="20"/>
          <w:lang w:val="es-CL"/>
        </w:rPr>
        <w:t>(1),</w:t>
      </w:r>
      <w:r w:rsidRPr="009A18E6">
        <w:rPr>
          <w:rFonts w:ascii="Verdana" w:hAnsi="Verdana"/>
          <w:sz w:val="20"/>
          <w:szCs w:val="20"/>
          <w:lang w:val="es-CL"/>
        </w:rPr>
        <w:t xml:space="preserve"> 1-21.</w:t>
      </w:r>
    </w:p>
    <w:p w14:paraId="7E2A8778" w14:textId="77777777" w:rsidR="003508C8" w:rsidRPr="009A18E6" w:rsidRDefault="003508C8" w:rsidP="009A18E6">
      <w:pPr>
        <w:pStyle w:val="Sinespaciado"/>
        <w:spacing w:line="360" w:lineRule="auto"/>
        <w:jc w:val="both"/>
        <w:rPr>
          <w:rFonts w:ascii="Verdana" w:hAnsi="Verdana"/>
          <w:sz w:val="20"/>
          <w:szCs w:val="20"/>
          <w:lang w:val="es-CL"/>
        </w:rPr>
      </w:pPr>
    </w:p>
    <w:p w14:paraId="264B030D" w14:textId="7EB6A033" w:rsidR="009A18E6" w:rsidRPr="00D97634" w:rsidRDefault="009A18E6" w:rsidP="009A18E6">
      <w:pPr>
        <w:pStyle w:val="Sinespaciado"/>
        <w:spacing w:line="360" w:lineRule="auto"/>
        <w:jc w:val="both"/>
        <w:rPr>
          <w:rFonts w:ascii="Verdana" w:hAnsi="Verdana"/>
          <w:sz w:val="20"/>
          <w:szCs w:val="20"/>
          <w:lang w:val="es-CL"/>
        </w:rPr>
      </w:pPr>
      <w:r w:rsidRPr="009A18E6">
        <w:rPr>
          <w:rFonts w:ascii="Verdana" w:hAnsi="Verdana"/>
          <w:sz w:val="20"/>
          <w:szCs w:val="20"/>
          <w:lang w:val="es-CL"/>
        </w:rPr>
        <w:t>F</w:t>
      </w:r>
      <w:r w:rsidR="00845B59">
        <w:rPr>
          <w:rFonts w:ascii="Verdana" w:hAnsi="Verdana"/>
          <w:sz w:val="20"/>
          <w:szCs w:val="20"/>
          <w:lang w:val="es-CL"/>
        </w:rPr>
        <w:t>ontana</w:t>
      </w:r>
      <w:r w:rsidRPr="009A18E6">
        <w:rPr>
          <w:rFonts w:ascii="Verdana" w:hAnsi="Verdana"/>
          <w:sz w:val="20"/>
          <w:szCs w:val="20"/>
          <w:lang w:val="es-CL"/>
        </w:rPr>
        <w:t xml:space="preserve">, J. (2011). </w:t>
      </w:r>
      <w:r w:rsidRPr="00845B59">
        <w:rPr>
          <w:rFonts w:ascii="Verdana" w:hAnsi="Verdana"/>
          <w:i/>
          <w:sz w:val="20"/>
          <w:szCs w:val="20"/>
          <w:lang w:val="es-CL"/>
        </w:rPr>
        <w:t>Por el bien del imperio. Una historia del mundo desde 1945</w:t>
      </w:r>
      <w:r w:rsidRPr="009A18E6">
        <w:rPr>
          <w:rFonts w:ascii="Verdana" w:hAnsi="Verdana"/>
          <w:sz w:val="20"/>
          <w:szCs w:val="20"/>
          <w:lang w:val="es-CL"/>
        </w:rPr>
        <w:t xml:space="preserve">. </w:t>
      </w:r>
      <w:r w:rsidR="00845B59" w:rsidRPr="00D97634">
        <w:rPr>
          <w:rFonts w:ascii="Verdana" w:hAnsi="Verdana"/>
          <w:sz w:val="20"/>
          <w:szCs w:val="20"/>
          <w:lang w:val="es-CL"/>
        </w:rPr>
        <w:t xml:space="preserve">Barcelona: </w:t>
      </w:r>
      <w:r w:rsidRPr="00D97634">
        <w:rPr>
          <w:rFonts w:ascii="Verdana" w:hAnsi="Verdana"/>
          <w:sz w:val="20"/>
          <w:szCs w:val="20"/>
          <w:lang w:val="es-CL"/>
        </w:rPr>
        <w:t>Pasado y Presente.</w:t>
      </w:r>
    </w:p>
    <w:p w14:paraId="6E357B49" w14:textId="29C520DF" w:rsidR="0040439D" w:rsidRDefault="0040439D" w:rsidP="009A18E6">
      <w:pPr>
        <w:pStyle w:val="Sinespaciado"/>
        <w:spacing w:line="360" w:lineRule="auto"/>
        <w:jc w:val="both"/>
        <w:rPr>
          <w:rFonts w:ascii="Verdana" w:hAnsi="Verdana"/>
          <w:sz w:val="20"/>
          <w:szCs w:val="20"/>
          <w:lang w:val="es-CL"/>
        </w:rPr>
      </w:pPr>
    </w:p>
    <w:p w14:paraId="3D1167BC" w14:textId="0C4FD89B" w:rsidR="009A18E6" w:rsidRPr="0033494B" w:rsidRDefault="009A18E6" w:rsidP="009A18E6">
      <w:pPr>
        <w:pStyle w:val="Sinespaciado"/>
        <w:spacing w:line="360" w:lineRule="auto"/>
        <w:jc w:val="both"/>
        <w:rPr>
          <w:rFonts w:ascii="Verdana" w:hAnsi="Verdana"/>
          <w:sz w:val="20"/>
          <w:szCs w:val="20"/>
          <w:lang w:val="es-CL"/>
        </w:rPr>
      </w:pPr>
      <w:r w:rsidRPr="009A18E6">
        <w:rPr>
          <w:rFonts w:ascii="Verdana" w:hAnsi="Verdana"/>
          <w:sz w:val="20"/>
          <w:szCs w:val="20"/>
          <w:lang w:val="es-CL"/>
        </w:rPr>
        <w:t>M</w:t>
      </w:r>
      <w:r w:rsidR="00845B59">
        <w:rPr>
          <w:rFonts w:ascii="Verdana" w:hAnsi="Verdana"/>
          <w:sz w:val="20"/>
          <w:szCs w:val="20"/>
          <w:lang w:val="es-CL"/>
        </w:rPr>
        <w:t>ateo</w:t>
      </w:r>
      <w:r w:rsidRPr="009A18E6">
        <w:rPr>
          <w:rFonts w:ascii="Verdana" w:hAnsi="Verdana"/>
          <w:sz w:val="20"/>
          <w:szCs w:val="20"/>
          <w:lang w:val="es-CL"/>
        </w:rPr>
        <w:t>, D. y P</w:t>
      </w:r>
      <w:r w:rsidR="00845B59">
        <w:rPr>
          <w:rFonts w:ascii="Verdana" w:hAnsi="Verdana"/>
          <w:sz w:val="20"/>
          <w:szCs w:val="20"/>
          <w:lang w:val="es-CL"/>
        </w:rPr>
        <w:t>astor</w:t>
      </w:r>
      <w:r w:rsidRPr="009A18E6">
        <w:rPr>
          <w:rFonts w:ascii="Verdana" w:hAnsi="Verdana"/>
          <w:sz w:val="20"/>
          <w:szCs w:val="20"/>
          <w:lang w:val="es-CL"/>
        </w:rPr>
        <w:t>, M. (2020). La desigualdad entre hombres y mujeres en la antigua Roma: un estudio sobre sus concepciones y conocimiento en el alumnado de Historia</w:t>
      </w:r>
      <w:r w:rsidR="00845B59">
        <w:rPr>
          <w:rFonts w:ascii="Verdana" w:hAnsi="Verdana"/>
          <w:sz w:val="20"/>
          <w:szCs w:val="20"/>
          <w:lang w:val="es-CL"/>
        </w:rPr>
        <w:t>.</w:t>
      </w:r>
      <w:r w:rsidRPr="009A18E6">
        <w:rPr>
          <w:rFonts w:ascii="Verdana" w:hAnsi="Verdana"/>
          <w:sz w:val="20"/>
          <w:szCs w:val="20"/>
          <w:lang w:val="es-CL"/>
        </w:rPr>
        <w:t xml:space="preserve"> </w:t>
      </w:r>
      <w:r w:rsidRPr="0033494B">
        <w:rPr>
          <w:rFonts w:ascii="Verdana" w:hAnsi="Verdana"/>
          <w:i/>
          <w:sz w:val="20"/>
          <w:szCs w:val="20"/>
          <w:lang w:val="es-CL"/>
        </w:rPr>
        <w:t>Cuaderno de Arqueología</w:t>
      </w:r>
      <w:r w:rsidR="00845B59" w:rsidRPr="0033494B">
        <w:rPr>
          <w:rFonts w:ascii="Verdana" w:hAnsi="Verdana"/>
          <w:sz w:val="20"/>
          <w:szCs w:val="20"/>
          <w:lang w:val="es-CL"/>
        </w:rPr>
        <w:t>, (</w:t>
      </w:r>
      <w:r w:rsidRPr="0033494B">
        <w:rPr>
          <w:rFonts w:ascii="Verdana" w:hAnsi="Verdana"/>
          <w:sz w:val="20"/>
          <w:szCs w:val="20"/>
          <w:lang w:val="es-CL"/>
        </w:rPr>
        <w:t>28</w:t>
      </w:r>
      <w:r w:rsidR="00845B59" w:rsidRPr="0033494B">
        <w:rPr>
          <w:rFonts w:ascii="Verdana" w:hAnsi="Verdana"/>
          <w:sz w:val="20"/>
          <w:szCs w:val="20"/>
          <w:lang w:val="es-CL"/>
        </w:rPr>
        <w:t>)</w:t>
      </w:r>
      <w:r w:rsidRPr="0033494B">
        <w:rPr>
          <w:rFonts w:ascii="Verdana" w:hAnsi="Verdana"/>
          <w:sz w:val="20"/>
          <w:szCs w:val="20"/>
          <w:lang w:val="es-CL"/>
        </w:rPr>
        <w:t>, 1-20.</w:t>
      </w:r>
      <w:r w:rsidR="004B6508" w:rsidRPr="0033494B">
        <w:rPr>
          <w:lang w:val="es-CL"/>
        </w:rPr>
        <w:t xml:space="preserve"> </w:t>
      </w:r>
      <w:r w:rsidR="004B6508" w:rsidRPr="0033494B">
        <w:rPr>
          <w:rFonts w:ascii="Verdana" w:hAnsi="Verdana"/>
          <w:sz w:val="20"/>
          <w:szCs w:val="20"/>
          <w:lang w:val="es-CL"/>
        </w:rPr>
        <w:t>https://doi.org/10.15581/012.28.001</w:t>
      </w:r>
    </w:p>
    <w:p w14:paraId="2CA5CF0B" w14:textId="77777777" w:rsidR="00103E96" w:rsidRDefault="00103E96" w:rsidP="00E25D8D">
      <w:pPr>
        <w:pBdr>
          <w:top w:val="nil"/>
          <w:left w:val="nil"/>
          <w:bottom w:val="nil"/>
          <w:right w:val="nil"/>
          <w:between w:val="nil"/>
        </w:pBdr>
        <w:spacing w:after="0" w:line="360" w:lineRule="auto"/>
        <w:jc w:val="both"/>
        <w:rPr>
          <w:rFonts w:ascii="Verdana" w:eastAsia="Times New Roman" w:hAnsi="Verdana" w:cs="Times New Roman"/>
          <w:color w:val="000000"/>
          <w:sz w:val="20"/>
          <w:szCs w:val="20"/>
        </w:rPr>
      </w:pPr>
    </w:p>
    <w:p w14:paraId="34F0455F" w14:textId="0EF6C9BB" w:rsidR="00C46FCD" w:rsidRPr="00E25D8D" w:rsidRDefault="00E25D8D" w:rsidP="00E25D8D">
      <w:pPr>
        <w:pBdr>
          <w:top w:val="nil"/>
          <w:left w:val="nil"/>
          <w:bottom w:val="nil"/>
          <w:right w:val="nil"/>
          <w:between w:val="nil"/>
        </w:pBdr>
        <w:spacing w:after="0" w:line="360" w:lineRule="auto"/>
        <w:jc w:val="both"/>
        <w:rPr>
          <w:rFonts w:ascii="Verdana" w:eastAsia="Times New Roman" w:hAnsi="Verdana" w:cs="Times New Roman"/>
          <w:color w:val="000000"/>
          <w:sz w:val="20"/>
          <w:szCs w:val="20"/>
        </w:rPr>
      </w:pPr>
      <w:proofErr w:type="spellStart"/>
      <w:r w:rsidRPr="00E25D8D">
        <w:rPr>
          <w:rFonts w:ascii="Verdana" w:eastAsia="Times New Roman" w:hAnsi="Verdana" w:cs="Times New Roman"/>
          <w:color w:val="000000"/>
          <w:sz w:val="20"/>
          <w:szCs w:val="20"/>
        </w:rPr>
        <w:t>Minte</w:t>
      </w:r>
      <w:proofErr w:type="spellEnd"/>
      <w:r w:rsidR="00C46FCD" w:rsidRPr="00E25D8D">
        <w:rPr>
          <w:rFonts w:ascii="Verdana" w:eastAsia="Times New Roman" w:hAnsi="Verdana" w:cs="Times New Roman"/>
          <w:color w:val="000000"/>
          <w:sz w:val="20"/>
          <w:szCs w:val="20"/>
        </w:rPr>
        <w:t>, A.</w:t>
      </w:r>
      <w:r w:rsidRPr="00E25D8D">
        <w:rPr>
          <w:rFonts w:ascii="Verdana" w:eastAsia="Times New Roman" w:hAnsi="Verdana" w:cs="Times New Roman"/>
          <w:color w:val="000000"/>
          <w:sz w:val="20"/>
          <w:szCs w:val="20"/>
        </w:rPr>
        <w:t xml:space="preserve"> y González</w:t>
      </w:r>
      <w:r w:rsidR="00C46FCD" w:rsidRPr="00E25D8D">
        <w:rPr>
          <w:rFonts w:ascii="Verdana" w:eastAsia="Times New Roman" w:hAnsi="Verdana" w:cs="Times New Roman"/>
          <w:color w:val="000000"/>
          <w:sz w:val="20"/>
          <w:szCs w:val="20"/>
        </w:rPr>
        <w:t>, E.</w:t>
      </w:r>
      <w:r w:rsidR="006953A6">
        <w:rPr>
          <w:rFonts w:ascii="Verdana" w:eastAsia="Times New Roman" w:hAnsi="Verdana" w:cs="Times New Roman"/>
          <w:color w:val="000000"/>
          <w:sz w:val="20"/>
          <w:szCs w:val="20"/>
        </w:rPr>
        <w:t xml:space="preserve"> (2015).</w:t>
      </w:r>
      <w:r w:rsidR="00C46FCD" w:rsidRPr="00E25D8D">
        <w:rPr>
          <w:rFonts w:ascii="Verdana" w:eastAsia="Times New Roman" w:hAnsi="Verdana" w:cs="Times New Roman"/>
          <w:color w:val="000000"/>
          <w:sz w:val="20"/>
          <w:szCs w:val="20"/>
        </w:rPr>
        <w:t xml:space="preserve"> Discriminación y exclusión de las mujeres en los textos escolares chilenos y cubanos de historia. </w:t>
      </w:r>
      <w:r w:rsidR="00C46FCD" w:rsidRPr="00E25D8D">
        <w:rPr>
          <w:rFonts w:ascii="Verdana" w:eastAsia="Times New Roman" w:hAnsi="Verdana" w:cs="Times New Roman"/>
          <w:i/>
          <w:color w:val="000000"/>
          <w:sz w:val="20"/>
          <w:szCs w:val="20"/>
        </w:rPr>
        <w:t>Revista de Investigación Educativa</w:t>
      </w:r>
      <w:r w:rsidR="00C46FCD" w:rsidRPr="00E25D8D">
        <w:rPr>
          <w:rFonts w:ascii="Verdana" w:eastAsia="Times New Roman" w:hAnsi="Verdana" w:cs="Times New Roman"/>
          <w:color w:val="000000"/>
          <w:sz w:val="20"/>
          <w:szCs w:val="20"/>
        </w:rPr>
        <w:t>,</w:t>
      </w:r>
      <w:r w:rsidRPr="00E25D8D">
        <w:rPr>
          <w:rFonts w:ascii="Verdana" w:eastAsia="Times New Roman" w:hAnsi="Verdana" w:cs="Times New Roman"/>
          <w:color w:val="000000"/>
          <w:sz w:val="20"/>
          <w:szCs w:val="20"/>
        </w:rPr>
        <w:t xml:space="preserve"> </w:t>
      </w:r>
      <w:r w:rsidRPr="00E25D8D">
        <w:rPr>
          <w:rFonts w:ascii="Verdana" w:eastAsia="Times New Roman" w:hAnsi="Verdana" w:cs="Times New Roman"/>
          <w:i/>
          <w:color w:val="000000"/>
          <w:sz w:val="20"/>
          <w:szCs w:val="20"/>
        </w:rPr>
        <w:t>33</w:t>
      </w:r>
      <w:r w:rsidRPr="00E25D8D">
        <w:rPr>
          <w:rFonts w:ascii="Verdana" w:eastAsia="Times New Roman" w:hAnsi="Verdana" w:cs="Times New Roman"/>
          <w:color w:val="000000"/>
          <w:sz w:val="20"/>
          <w:szCs w:val="20"/>
        </w:rPr>
        <w:t>(2), 321-333.</w:t>
      </w:r>
      <w:r w:rsidR="006953A6" w:rsidRPr="006953A6">
        <w:t xml:space="preserve"> </w:t>
      </w:r>
      <w:r w:rsidR="006953A6" w:rsidRPr="006953A6">
        <w:rPr>
          <w:rFonts w:ascii="Verdana" w:eastAsia="Times New Roman" w:hAnsi="Verdana" w:cs="Times New Roman"/>
          <w:color w:val="000000"/>
          <w:sz w:val="20"/>
          <w:szCs w:val="20"/>
        </w:rPr>
        <w:t>https://doi.org/10.6018/rie.33.2.196231</w:t>
      </w:r>
    </w:p>
    <w:p w14:paraId="37523FE3" w14:textId="77777777" w:rsidR="0058245E" w:rsidRDefault="0058245E" w:rsidP="009A18E6">
      <w:pPr>
        <w:pStyle w:val="Sinespaciado"/>
        <w:spacing w:line="360" w:lineRule="auto"/>
        <w:jc w:val="both"/>
        <w:rPr>
          <w:rFonts w:ascii="Verdana" w:hAnsi="Verdana"/>
          <w:sz w:val="20"/>
          <w:szCs w:val="20"/>
          <w:lang w:val="es-CL"/>
        </w:rPr>
      </w:pPr>
    </w:p>
    <w:p w14:paraId="35BD0FF0" w14:textId="22A88DBD" w:rsidR="009A18E6" w:rsidRPr="00D97634" w:rsidRDefault="009A18E6" w:rsidP="009A18E6">
      <w:pPr>
        <w:pStyle w:val="Sinespaciado"/>
        <w:spacing w:line="360" w:lineRule="auto"/>
        <w:jc w:val="both"/>
        <w:rPr>
          <w:rFonts w:ascii="Verdana" w:hAnsi="Verdana"/>
          <w:sz w:val="20"/>
          <w:szCs w:val="20"/>
          <w:lang w:val="en-US"/>
        </w:rPr>
      </w:pPr>
      <w:proofErr w:type="spellStart"/>
      <w:r w:rsidRPr="00E25D8D">
        <w:rPr>
          <w:rFonts w:ascii="Verdana" w:hAnsi="Verdana"/>
          <w:sz w:val="20"/>
          <w:szCs w:val="20"/>
          <w:lang w:val="es-CL"/>
        </w:rPr>
        <w:t>M</w:t>
      </w:r>
      <w:r w:rsidR="00385731" w:rsidRPr="00E25D8D">
        <w:rPr>
          <w:rFonts w:ascii="Verdana" w:hAnsi="Verdana"/>
          <w:sz w:val="20"/>
          <w:szCs w:val="20"/>
          <w:lang w:val="es-CL"/>
        </w:rPr>
        <w:t>yszkowska</w:t>
      </w:r>
      <w:proofErr w:type="spellEnd"/>
      <w:r w:rsidRPr="00E25D8D">
        <w:rPr>
          <w:rFonts w:ascii="Verdana" w:hAnsi="Verdana"/>
          <w:sz w:val="20"/>
          <w:szCs w:val="20"/>
          <w:lang w:val="es-CL"/>
        </w:rPr>
        <w:t xml:space="preserve">, M. (2014). </w:t>
      </w:r>
      <w:r w:rsidRPr="0033494B">
        <w:rPr>
          <w:rFonts w:ascii="Verdana" w:hAnsi="Verdana"/>
          <w:sz w:val="20"/>
          <w:szCs w:val="20"/>
          <w:lang w:val="en-US"/>
        </w:rPr>
        <w:t xml:space="preserve">The only women that are mothers of men: Plutarch’s creation of the </w:t>
      </w:r>
      <w:proofErr w:type="spellStart"/>
      <w:r w:rsidR="004B6508" w:rsidRPr="0033494B">
        <w:rPr>
          <w:rFonts w:ascii="Verdana" w:hAnsi="Verdana"/>
          <w:sz w:val="20"/>
          <w:szCs w:val="20"/>
          <w:lang w:val="en-US"/>
        </w:rPr>
        <w:t>s</w:t>
      </w:r>
      <w:r w:rsidRPr="0033494B">
        <w:rPr>
          <w:rFonts w:ascii="Verdana" w:hAnsi="Verdana"/>
          <w:sz w:val="20"/>
          <w:szCs w:val="20"/>
          <w:lang w:val="en-US"/>
        </w:rPr>
        <w:t>partan</w:t>
      </w:r>
      <w:proofErr w:type="spellEnd"/>
      <w:r w:rsidRPr="0033494B">
        <w:rPr>
          <w:rFonts w:ascii="Verdana" w:hAnsi="Verdana"/>
          <w:sz w:val="20"/>
          <w:szCs w:val="20"/>
          <w:lang w:val="en-US"/>
        </w:rPr>
        <w:t xml:space="preserve"> mother</w:t>
      </w:r>
      <w:r w:rsidR="00385731" w:rsidRPr="0033494B">
        <w:rPr>
          <w:rFonts w:ascii="Verdana" w:hAnsi="Verdana"/>
          <w:sz w:val="20"/>
          <w:szCs w:val="20"/>
          <w:lang w:val="en-US"/>
        </w:rPr>
        <w:t>.</w:t>
      </w:r>
      <w:r w:rsidRPr="0033494B">
        <w:rPr>
          <w:rFonts w:ascii="Verdana" w:hAnsi="Verdana"/>
          <w:sz w:val="20"/>
          <w:szCs w:val="20"/>
          <w:lang w:val="en-US"/>
        </w:rPr>
        <w:t xml:space="preserve"> </w:t>
      </w:r>
      <w:proofErr w:type="spellStart"/>
      <w:r w:rsidRPr="00D97634">
        <w:rPr>
          <w:rFonts w:ascii="Verdana" w:hAnsi="Verdana"/>
          <w:i/>
          <w:sz w:val="20"/>
          <w:szCs w:val="20"/>
          <w:lang w:val="en-US"/>
        </w:rPr>
        <w:t>Graeco</w:t>
      </w:r>
      <w:proofErr w:type="spellEnd"/>
      <w:r w:rsidRPr="00D97634">
        <w:rPr>
          <w:rFonts w:ascii="Verdana" w:hAnsi="Verdana"/>
          <w:i/>
          <w:sz w:val="20"/>
          <w:szCs w:val="20"/>
          <w:lang w:val="en-US"/>
        </w:rPr>
        <w:t xml:space="preserve">-Latina </w:t>
      </w:r>
      <w:proofErr w:type="spellStart"/>
      <w:r w:rsidRPr="00D97634">
        <w:rPr>
          <w:rFonts w:ascii="Verdana" w:hAnsi="Verdana"/>
          <w:i/>
          <w:sz w:val="20"/>
          <w:szCs w:val="20"/>
          <w:lang w:val="en-US"/>
        </w:rPr>
        <w:t>Brunensia</w:t>
      </w:r>
      <w:proofErr w:type="spellEnd"/>
      <w:r w:rsidR="00385731" w:rsidRPr="00D97634">
        <w:rPr>
          <w:rFonts w:ascii="Verdana" w:hAnsi="Verdana"/>
          <w:i/>
          <w:sz w:val="20"/>
          <w:szCs w:val="20"/>
          <w:lang w:val="en-US"/>
        </w:rPr>
        <w:t>,</w:t>
      </w:r>
      <w:r w:rsidRPr="00D97634">
        <w:rPr>
          <w:rFonts w:ascii="Verdana" w:hAnsi="Verdana"/>
          <w:i/>
          <w:sz w:val="20"/>
          <w:szCs w:val="20"/>
          <w:lang w:val="en-US"/>
        </w:rPr>
        <w:t xml:space="preserve"> 19</w:t>
      </w:r>
      <w:r w:rsidR="00385731" w:rsidRPr="00D97634">
        <w:rPr>
          <w:rFonts w:ascii="Verdana" w:hAnsi="Verdana"/>
          <w:sz w:val="20"/>
          <w:szCs w:val="20"/>
          <w:lang w:val="en-US"/>
        </w:rPr>
        <w:t>(1)</w:t>
      </w:r>
      <w:r w:rsidRPr="00D97634">
        <w:rPr>
          <w:rFonts w:ascii="Verdana" w:hAnsi="Verdana"/>
          <w:sz w:val="20"/>
          <w:szCs w:val="20"/>
          <w:lang w:val="en-US"/>
        </w:rPr>
        <w:t>, 78-92.</w:t>
      </w:r>
      <w:r w:rsidRPr="00D97634">
        <w:rPr>
          <w:rFonts w:ascii="Verdana" w:hAnsi="Verdana"/>
          <w:sz w:val="20"/>
          <w:szCs w:val="20"/>
          <w:lang w:val="en-US"/>
        </w:rPr>
        <w:cr/>
      </w:r>
    </w:p>
    <w:p w14:paraId="2666AD2D" w14:textId="77777777" w:rsidR="00103E96" w:rsidRPr="002E181B" w:rsidRDefault="00103E96" w:rsidP="00103E96">
      <w:pPr>
        <w:pStyle w:val="Sinespaciado"/>
        <w:spacing w:line="360" w:lineRule="auto"/>
        <w:jc w:val="both"/>
        <w:rPr>
          <w:rFonts w:ascii="Verdana" w:hAnsi="Verdana"/>
          <w:sz w:val="20"/>
          <w:szCs w:val="20"/>
          <w:lang w:val="es-CL"/>
        </w:rPr>
      </w:pPr>
      <w:proofErr w:type="spellStart"/>
      <w:r w:rsidRPr="009A18E6">
        <w:rPr>
          <w:rFonts w:ascii="Verdana" w:hAnsi="Verdana"/>
          <w:sz w:val="20"/>
          <w:szCs w:val="20"/>
          <w:lang w:val="en-US"/>
        </w:rPr>
        <w:lastRenderedPageBreak/>
        <w:t>L</w:t>
      </w:r>
      <w:r>
        <w:rPr>
          <w:rFonts w:ascii="Verdana" w:hAnsi="Verdana"/>
          <w:sz w:val="20"/>
          <w:szCs w:val="20"/>
          <w:lang w:val="en-US"/>
        </w:rPr>
        <w:t>ópez</w:t>
      </w:r>
      <w:proofErr w:type="spellEnd"/>
      <w:r w:rsidRPr="009A18E6">
        <w:rPr>
          <w:rFonts w:ascii="Verdana" w:hAnsi="Verdana"/>
          <w:sz w:val="20"/>
          <w:szCs w:val="20"/>
          <w:lang w:val="en-US"/>
        </w:rPr>
        <w:t>, M. &amp; G</w:t>
      </w:r>
      <w:r>
        <w:rPr>
          <w:rFonts w:ascii="Verdana" w:hAnsi="Verdana"/>
          <w:sz w:val="20"/>
          <w:szCs w:val="20"/>
          <w:lang w:val="en-US"/>
        </w:rPr>
        <w:t>utiérrez,</w:t>
      </w:r>
      <w:r w:rsidRPr="009A18E6">
        <w:rPr>
          <w:rFonts w:ascii="Verdana" w:hAnsi="Verdana"/>
          <w:sz w:val="20"/>
          <w:szCs w:val="20"/>
          <w:lang w:val="en-US"/>
        </w:rPr>
        <w:t xml:space="preserve"> M. (2020). Analysis of the perpetuation of a sexist education in history textbooks of the 4th year of secondary education</w:t>
      </w:r>
      <w:r>
        <w:rPr>
          <w:rFonts w:ascii="Verdana" w:hAnsi="Verdana"/>
          <w:sz w:val="20"/>
          <w:szCs w:val="20"/>
          <w:lang w:val="en-US"/>
        </w:rPr>
        <w:t>.</w:t>
      </w:r>
      <w:r w:rsidRPr="009A18E6">
        <w:rPr>
          <w:rFonts w:ascii="Verdana" w:hAnsi="Verdana"/>
          <w:sz w:val="20"/>
          <w:szCs w:val="20"/>
          <w:lang w:val="en-US"/>
        </w:rPr>
        <w:t xml:space="preserve"> </w:t>
      </w:r>
      <w:r w:rsidRPr="002E181B">
        <w:rPr>
          <w:rFonts w:ascii="Verdana" w:hAnsi="Verdana"/>
          <w:bCs/>
          <w:i/>
          <w:sz w:val="20"/>
          <w:szCs w:val="20"/>
          <w:lang w:val="es-CL"/>
        </w:rPr>
        <w:t xml:space="preserve">Social &amp; </w:t>
      </w:r>
      <w:proofErr w:type="spellStart"/>
      <w:r w:rsidRPr="002E181B">
        <w:rPr>
          <w:rFonts w:ascii="Verdana" w:hAnsi="Verdana"/>
          <w:bCs/>
          <w:i/>
          <w:sz w:val="20"/>
          <w:szCs w:val="20"/>
          <w:lang w:val="es-CL"/>
        </w:rPr>
        <w:t>Education</w:t>
      </w:r>
      <w:proofErr w:type="spellEnd"/>
      <w:r w:rsidRPr="002E181B">
        <w:rPr>
          <w:rFonts w:ascii="Verdana" w:hAnsi="Verdana"/>
          <w:bCs/>
          <w:i/>
          <w:sz w:val="20"/>
          <w:szCs w:val="20"/>
          <w:lang w:val="es-CL"/>
        </w:rPr>
        <w:t xml:space="preserve"> </w:t>
      </w:r>
      <w:proofErr w:type="spellStart"/>
      <w:r w:rsidRPr="002E181B">
        <w:rPr>
          <w:rFonts w:ascii="Verdana" w:hAnsi="Verdana"/>
          <w:bCs/>
          <w:i/>
          <w:sz w:val="20"/>
          <w:szCs w:val="20"/>
          <w:lang w:val="es-CL"/>
        </w:rPr>
        <w:t>History</w:t>
      </w:r>
      <w:proofErr w:type="spellEnd"/>
      <w:r w:rsidRPr="002E181B">
        <w:rPr>
          <w:rFonts w:ascii="Verdana" w:hAnsi="Verdana"/>
          <w:i/>
          <w:sz w:val="20"/>
          <w:szCs w:val="20"/>
          <w:lang w:val="es-CL"/>
        </w:rPr>
        <w:t>, 9</w:t>
      </w:r>
      <w:r w:rsidRPr="002E181B">
        <w:rPr>
          <w:rFonts w:ascii="Verdana" w:hAnsi="Verdana"/>
          <w:sz w:val="20"/>
          <w:szCs w:val="20"/>
          <w:lang w:val="es-CL"/>
        </w:rPr>
        <w:t>(1), 38-64.</w:t>
      </w:r>
    </w:p>
    <w:p w14:paraId="138ADA8C" w14:textId="77777777" w:rsidR="00103E96" w:rsidRPr="00103E96" w:rsidRDefault="00103E96" w:rsidP="009A18E6">
      <w:pPr>
        <w:pStyle w:val="Sinespaciado"/>
        <w:spacing w:line="360" w:lineRule="auto"/>
        <w:jc w:val="both"/>
        <w:rPr>
          <w:rFonts w:ascii="Verdana" w:hAnsi="Verdana"/>
          <w:sz w:val="20"/>
          <w:szCs w:val="20"/>
          <w:lang w:val="es-CL"/>
        </w:rPr>
      </w:pPr>
    </w:p>
    <w:p w14:paraId="31193CFC" w14:textId="67D5A325" w:rsidR="009A18E6" w:rsidRPr="004B6508" w:rsidRDefault="009A18E6" w:rsidP="009A18E6">
      <w:pPr>
        <w:pStyle w:val="Sinespaciado"/>
        <w:spacing w:line="360" w:lineRule="auto"/>
        <w:jc w:val="both"/>
        <w:rPr>
          <w:rFonts w:ascii="Verdana" w:hAnsi="Verdana"/>
          <w:sz w:val="20"/>
          <w:szCs w:val="20"/>
          <w:lang w:val="es-CL"/>
        </w:rPr>
      </w:pPr>
      <w:r w:rsidRPr="009A18E6">
        <w:rPr>
          <w:rFonts w:ascii="Verdana" w:hAnsi="Verdana"/>
          <w:sz w:val="20"/>
          <w:szCs w:val="20"/>
          <w:lang w:val="es-CL"/>
        </w:rPr>
        <w:t>P</w:t>
      </w:r>
      <w:r w:rsidR="00385731">
        <w:rPr>
          <w:rFonts w:ascii="Verdana" w:hAnsi="Verdana"/>
          <w:sz w:val="20"/>
          <w:szCs w:val="20"/>
          <w:lang w:val="es-CL"/>
        </w:rPr>
        <w:t>érez</w:t>
      </w:r>
      <w:r w:rsidRPr="009A18E6">
        <w:rPr>
          <w:rFonts w:ascii="Verdana" w:hAnsi="Verdana"/>
          <w:sz w:val="20"/>
          <w:szCs w:val="20"/>
          <w:lang w:val="es-CL"/>
        </w:rPr>
        <w:t>, F. (2019). Estado, mujer y hogar en Chile. El rol disciplinario en publicaciones de época</w:t>
      </w:r>
      <w:r w:rsidR="00385731">
        <w:rPr>
          <w:rFonts w:ascii="Verdana" w:hAnsi="Verdana"/>
          <w:sz w:val="20"/>
          <w:szCs w:val="20"/>
          <w:lang w:val="es-CL"/>
        </w:rPr>
        <w:t xml:space="preserve">. </w:t>
      </w:r>
      <w:r w:rsidRPr="004B6508">
        <w:rPr>
          <w:rFonts w:ascii="Verdana" w:hAnsi="Verdana"/>
          <w:i/>
          <w:sz w:val="20"/>
          <w:szCs w:val="20"/>
          <w:lang w:val="es-CL"/>
        </w:rPr>
        <w:t>Revista Austral de Ciencias Sociales</w:t>
      </w:r>
      <w:r w:rsidR="00385731" w:rsidRPr="004B6508">
        <w:rPr>
          <w:rFonts w:ascii="Verdana" w:hAnsi="Verdana"/>
          <w:sz w:val="20"/>
          <w:szCs w:val="20"/>
          <w:lang w:val="es-CL"/>
        </w:rPr>
        <w:t>, (</w:t>
      </w:r>
      <w:r w:rsidRPr="004B6508">
        <w:rPr>
          <w:rFonts w:ascii="Verdana" w:hAnsi="Verdana"/>
          <w:sz w:val="20"/>
          <w:szCs w:val="20"/>
          <w:lang w:val="es-CL"/>
        </w:rPr>
        <w:t>37</w:t>
      </w:r>
      <w:r w:rsidR="00385731" w:rsidRPr="004B6508">
        <w:rPr>
          <w:rFonts w:ascii="Verdana" w:hAnsi="Verdana"/>
          <w:sz w:val="20"/>
          <w:szCs w:val="20"/>
          <w:lang w:val="es-CL"/>
        </w:rPr>
        <w:t>)</w:t>
      </w:r>
      <w:r w:rsidRPr="004B6508">
        <w:rPr>
          <w:rFonts w:ascii="Verdana" w:hAnsi="Verdana"/>
          <w:sz w:val="20"/>
          <w:szCs w:val="20"/>
          <w:lang w:val="es-CL"/>
        </w:rPr>
        <w:t xml:space="preserve">, 29-48. </w:t>
      </w:r>
      <w:proofErr w:type="gramStart"/>
      <w:r w:rsidR="004B6508" w:rsidRPr="004B6508">
        <w:rPr>
          <w:rFonts w:ascii="Verdana" w:hAnsi="Verdana"/>
          <w:sz w:val="20"/>
          <w:szCs w:val="20"/>
          <w:lang w:val="es-CL"/>
        </w:rPr>
        <w:t>doi:10.4206/rev.austral.cienc.soc</w:t>
      </w:r>
      <w:proofErr w:type="gramEnd"/>
      <w:r w:rsidR="004B6508" w:rsidRPr="004B6508">
        <w:rPr>
          <w:rFonts w:ascii="Verdana" w:hAnsi="Verdana"/>
          <w:sz w:val="20"/>
          <w:szCs w:val="20"/>
          <w:lang w:val="es-CL"/>
        </w:rPr>
        <w:t>.2019.n37-02</w:t>
      </w:r>
    </w:p>
    <w:p w14:paraId="30455E5F" w14:textId="77777777" w:rsidR="009A18E6" w:rsidRPr="004B6508" w:rsidRDefault="009A18E6" w:rsidP="009A18E6">
      <w:pPr>
        <w:pStyle w:val="Sinespaciado"/>
        <w:spacing w:line="360" w:lineRule="auto"/>
        <w:jc w:val="both"/>
        <w:rPr>
          <w:rFonts w:ascii="Verdana" w:hAnsi="Verdana"/>
          <w:sz w:val="20"/>
          <w:szCs w:val="20"/>
          <w:lang w:val="es-CL"/>
        </w:rPr>
      </w:pPr>
    </w:p>
    <w:p w14:paraId="70423FA5" w14:textId="4074EFC7" w:rsidR="009A18E6" w:rsidRPr="00D97634" w:rsidRDefault="009A18E6" w:rsidP="009A18E6">
      <w:pPr>
        <w:pStyle w:val="Sinespaciado"/>
        <w:spacing w:line="360" w:lineRule="auto"/>
        <w:jc w:val="both"/>
        <w:rPr>
          <w:rFonts w:ascii="Verdana" w:hAnsi="Verdana"/>
          <w:sz w:val="20"/>
          <w:szCs w:val="20"/>
          <w:lang w:val="en-US"/>
        </w:rPr>
      </w:pPr>
      <w:r w:rsidRPr="002E181B">
        <w:rPr>
          <w:rFonts w:ascii="Verdana" w:hAnsi="Verdana"/>
          <w:sz w:val="20"/>
          <w:szCs w:val="20"/>
          <w:lang w:val="en-US"/>
        </w:rPr>
        <w:t>P</w:t>
      </w:r>
      <w:r w:rsidR="00385731" w:rsidRPr="002E181B">
        <w:rPr>
          <w:rFonts w:ascii="Verdana" w:hAnsi="Verdana"/>
          <w:sz w:val="20"/>
          <w:szCs w:val="20"/>
          <w:lang w:val="en-US"/>
        </w:rPr>
        <w:t>unch</w:t>
      </w:r>
      <w:r w:rsidRPr="002E181B">
        <w:rPr>
          <w:rFonts w:ascii="Verdana" w:hAnsi="Verdana"/>
          <w:sz w:val="20"/>
          <w:szCs w:val="20"/>
          <w:lang w:val="en-US"/>
        </w:rPr>
        <w:t xml:space="preserve">, S. (2020). </w:t>
      </w:r>
      <w:r w:rsidRPr="009A18E6">
        <w:rPr>
          <w:rFonts w:ascii="Verdana" w:hAnsi="Verdana"/>
          <w:sz w:val="20"/>
          <w:szCs w:val="20"/>
          <w:lang w:val="en-US"/>
        </w:rPr>
        <w:t xml:space="preserve">Why have generational orderings been </w:t>
      </w:r>
      <w:proofErr w:type="spellStart"/>
      <w:r w:rsidRPr="009A18E6">
        <w:rPr>
          <w:rFonts w:ascii="Verdana" w:hAnsi="Verdana"/>
          <w:sz w:val="20"/>
          <w:szCs w:val="20"/>
          <w:lang w:val="en-US"/>
        </w:rPr>
        <w:t>marginalised</w:t>
      </w:r>
      <w:proofErr w:type="spellEnd"/>
      <w:r w:rsidRPr="009A18E6">
        <w:rPr>
          <w:rFonts w:ascii="Verdana" w:hAnsi="Verdana"/>
          <w:sz w:val="20"/>
          <w:szCs w:val="20"/>
          <w:lang w:val="en-US"/>
        </w:rPr>
        <w:t xml:space="preserve"> in the social sciences including childhood studies? </w:t>
      </w:r>
      <w:r w:rsidR="00385731" w:rsidRPr="00D97634">
        <w:rPr>
          <w:rFonts w:ascii="Verdana" w:hAnsi="Verdana"/>
          <w:i/>
          <w:sz w:val="20"/>
          <w:szCs w:val="20"/>
          <w:lang w:val="en-US"/>
        </w:rPr>
        <w:t>Children's Geographies</w:t>
      </w:r>
      <w:r w:rsidR="00385731" w:rsidRPr="00D97634">
        <w:rPr>
          <w:rFonts w:ascii="Verdana" w:hAnsi="Verdana"/>
          <w:sz w:val="20"/>
          <w:szCs w:val="20"/>
          <w:lang w:val="en-US"/>
        </w:rPr>
        <w:t xml:space="preserve">, </w:t>
      </w:r>
      <w:r w:rsidR="00385731" w:rsidRPr="00D97634">
        <w:rPr>
          <w:rFonts w:ascii="Verdana" w:hAnsi="Verdana"/>
          <w:i/>
          <w:sz w:val="20"/>
          <w:szCs w:val="20"/>
          <w:lang w:val="en-US"/>
        </w:rPr>
        <w:t>18</w:t>
      </w:r>
      <w:r w:rsidR="00385731" w:rsidRPr="00D97634">
        <w:rPr>
          <w:rFonts w:ascii="Verdana" w:hAnsi="Verdana"/>
          <w:sz w:val="20"/>
          <w:szCs w:val="20"/>
          <w:lang w:val="en-US"/>
        </w:rPr>
        <w:t xml:space="preserve">(2), </w:t>
      </w:r>
      <w:r w:rsidRPr="00D97634">
        <w:rPr>
          <w:rFonts w:ascii="Verdana" w:hAnsi="Verdana"/>
          <w:sz w:val="20"/>
          <w:szCs w:val="20"/>
          <w:lang w:val="en-US"/>
        </w:rPr>
        <w:t>128-140.</w:t>
      </w:r>
      <w:r w:rsidR="004B6508" w:rsidRPr="00D97634">
        <w:rPr>
          <w:lang w:val="en-US"/>
        </w:rPr>
        <w:t xml:space="preserve"> </w:t>
      </w:r>
      <w:r w:rsidR="004B6508" w:rsidRPr="00D97634">
        <w:rPr>
          <w:rFonts w:ascii="Verdana" w:hAnsi="Verdana"/>
          <w:sz w:val="20"/>
          <w:szCs w:val="20"/>
          <w:lang w:val="en-US"/>
        </w:rPr>
        <w:t>https://doi.org/10.1080/14733285.2019.1630716</w:t>
      </w:r>
    </w:p>
    <w:p w14:paraId="20E062C2" w14:textId="77777777" w:rsidR="00D47EF4" w:rsidRPr="00D97634" w:rsidRDefault="00D47EF4" w:rsidP="00D47EF4">
      <w:pPr>
        <w:pStyle w:val="Sinespaciado"/>
        <w:spacing w:line="360" w:lineRule="auto"/>
        <w:rPr>
          <w:rFonts w:ascii="Verdana" w:hAnsi="Verdana"/>
          <w:sz w:val="20"/>
          <w:szCs w:val="20"/>
          <w:lang w:val="en-US"/>
        </w:rPr>
      </w:pPr>
    </w:p>
    <w:p w14:paraId="5B396F9C" w14:textId="57AAF320" w:rsidR="00D47EF4" w:rsidRPr="00D47EF4" w:rsidRDefault="00D47EF4" w:rsidP="00D47EF4">
      <w:pPr>
        <w:pStyle w:val="Sinespaciado"/>
        <w:spacing w:line="360" w:lineRule="auto"/>
        <w:jc w:val="both"/>
        <w:rPr>
          <w:rFonts w:ascii="Verdana" w:hAnsi="Verdana"/>
          <w:sz w:val="20"/>
          <w:szCs w:val="20"/>
        </w:rPr>
      </w:pPr>
      <w:r w:rsidRPr="00D97634">
        <w:rPr>
          <w:rFonts w:ascii="Verdana" w:hAnsi="Verdana"/>
          <w:sz w:val="20"/>
          <w:szCs w:val="20"/>
          <w:lang w:val="en-US"/>
        </w:rPr>
        <w:t xml:space="preserve">Rodríguez, R. y </w:t>
      </w:r>
      <w:proofErr w:type="spellStart"/>
      <w:r w:rsidRPr="00D97634">
        <w:rPr>
          <w:rFonts w:ascii="Verdana" w:hAnsi="Verdana"/>
          <w:sz w:val="20"/>
          <w:szCs w:val="20"/>
          <w:lang w:val="en-US"/>
        </w:rPr>
        <w:t>Solé</w:t>
      </w:r>
      <w:proofErr w:type="spellEnd"/>
      <w:r w:rsidRPr="00D97634">
        <w:rPr>
          <w:rFonts w:ascii="Verdana" w:hAnsi="Verdana"/>
          <w:sz w:val="20"/>
          <w:szCs w:val="20"/>
          <w:lang w:val="en-US"/>
        </w:rPr>
        <w:t xml:space="preserve">, G. (2018). </w:t>
      </w:r>
      <w:r w:rsidRPr="00D47EF4">
        <w:rPr>
          <w:rFonts w:ascii="Verdana" w:hAnsi="Verdana"/>
          <w:sz w:val="20"/>
          <w:szCs w:val="20"/>
        </w:rPr>
        <w:t>Los manuales escolares de Historia en España y Portugal. Reflexiones sobre su uso en Educación Primaria y Secundaria</w:t>
      </w:r>
      <w:r>
        <w:rPr>
          <w:rFonts w:ascii="Verdana" w:hAnsi="Verdana"/>
          <w:sz w:val="20"/>
          <w:szCs w:val="20"/>
        </w:rPr>
        <w:t xml:space="preserve">. </w:t>
      </w:r>
      <w:r w:rsidRPr="00D47EF4">
        <w:rPr>
          <w:rFonts w:ascii="Verdana" w:hAnsi="Verdana"/>
          <w:i/>
          <w:sz w:val="20"/>
          <w:szCs w:val="20"/>
        </w:rPr>
        <w:t>Arbor, 194</w:t>
      </w:r>
      <w:r>
        <w:rPr>
          <w:rFonts w:ascii="Verdana" w:hAnsi="Verdana"/>
          <w:sz w:val="20"/>
          <w:szCs w:val="20"/>
        </w:rPr>
        <w:t xml:space="preserve">(788), </w:t>
      </w:r>
      <w:r w:rsidRPr="00D47EF4">
        <w:rPr>
          <w:rFonts w:ascii="Verdana" w:hAnsi="Verdana"/>
          <w:sz w:val="20"/>
          <w:szCs w:val="20"/>
        </w:rPr>
        <w:t>1-12.</w:t>
      </w:r>
    </w:p>
    <w:p w14:paraId="389094AD" w14:textId="77777777" w:rsidR="009A18E6" w:rsidRPr="001A5297" w:rsidRDefault="009A18E6" w:rsidP="00D47EF4">
      <w:pPr>
        <w:pStyle w:val="Sinespaciado"/>
        <w:spacing w:line="360" w:lineRule="auto"/>
        <w:jc w:val="both"/>
        <w:rPr>
          <w:rFonts w:ascii="Verdana" w:hAnsi="Verdana"/>
          <w:sz w:val="20"/>
          <w:szCs w:val="20"/>
          <w:lang w:val="es-CL"/>
        </w:rPr>
      </w:pPr>
    </w:p>
    <w:p w14:paraId="1DA494E1" w14:textId="44AA2170" w:rsidR="009A18E6" w:rsidRPr="009A18E6" w:rsidRDefault="001A5297" w:rsidP="009A18E6">
      <w:pPr>
        <w:pStyle w:val="Sinespaciado"/>
        <w:spacing w:line="360" w:lineRule="auto"/>
        <w:jc w:val="both"/>
        <w:rPr>
          <w:rFonts w:ascii="Verdana" w:hAnsi="Verdana"/>
          <w:sz w:val="20"/>
          <w:szCs w:val="20"/>
          <w:lang w:val="es-CL"/>
        </w:rPr>
      </w:pPr>
      <w:r>
        <w:rPr>
          <w:rFonts w:ascii="Verdana" w:hAnsi="Verdana"/>
          <w:sz w:val="20"/>
          <w:szCs w:val="20"/>
          <w:lang w:val="es-CL"/>
        </w:rPr>
        <w:t xml:space="preserve">Sayago, S. (2014). </w:t>
      </w:r>
      <w:r w:rsidR="009A18E6" w:rsidRPr="009A18E6">
        <w:rPr>
          <w:rFonts w:ascii="Verdana" w:hAnsi="Verdana"/>
          <w:sz w:val="20"/>
          <w:szCs w:val="20"/>
          <w:lang w:val="es-CL"/>
        </w:rPr>
        <w:t>El análisis del discurso como técnica de investigación cualitativa y cuantitativa en las ciencias</w:t>
      </w:r>
      <w:r>
        <w:rPr>
          <w:rFonts w:ascii="Verdana" w:hAnsi="Verdana"/>
          <w:sz w:val="20"/>
          <w:szCs w:val="20"/>
          <w:lang w:val="es-CL"/>
        </w:rPr>
        <w:t xml:space="preserve"> sociales.</w:t>
      </w:r>
      <w:r w:rsidR="009A18E6" w:rsidRPr="009A18E6">
        <w:rPr>
          <w:rFonts w:ascii="Verdana" w:hAnsi="Verdana"/>
          <w:sz w:val="20"/>
          <w:szCs w:val="20"/>
          <w:lang w:val="es-CL"/>
        </w:rPr>
        <w:t xml:space="preserve"> </w:t>
      </w:r>
      <w:r w:rsidR="009A18E6" w:rsidRPr="001A5297">
        <w:rPr>
          <w:rFonts w:ascii="Verdana" w:hAnsi="Verdana"/>
          <w:i/>
          <w:sz w:val="20"/>
          <w:szCs w:val="20"/>
          <w:lang w:val="es-CL"/>
        </w:rPr>
        <w:t xml:space="preserve">Cinta de </w:t>
      </w:r>
      <w:proofErr w:type="spellStart"/>
      <w:r w:rsidR="009A18E6" w:rsidRPr="001A5297">
        <w:rPr>
          <w:rFonts w:ascii="Verdana" w:hAnsi="Verdana"/>
          <w:i/>
          <w:sz w:val="20"/>
          <w:szCs w:val="20"/>
          <w:lang w:val="es-CL"/>
        </w:rPr>
        <w:t>M</w:t>
      </w:r>
      <w:r w:rsidRPr="001A5297">
        <w:rPr>
          <w:rFonts w:ascii="Verdana" w:hAnsi="Verdana"/>
          <w:i/>
          <w:sz w:val="20"/>
          <w:szCs w:val="20"/>
          <w:lang w:val="es-CL"/>
        </w:rPr>
        <w:t>oebio</w:t>
      </w:r>
      <w:proofErr w:type="spellEnd"/>
      <w:r>
        <w:rPr>
          <w:rFonts w:ascii="Verdana" w:hAnsi="Verdana"/>
          <w:sz w:val="20"/>
          <w:szCs w:val="20"/>
          <w:lang w:val="es-CL"/>
        </w:rPr>
        <w:t>, (</w:t>
      </w:r>
      <w:r w:rsidR="009A18E6" w:rsidRPr="009A18E6">
        <w:rPr>
          <w:rFonts w:ascii="Verdana" w:hAnsi="Verdana"/>
          <w:sz w:val="20"/>
          <w:szCs w:val="20"/>
          <w:lang w:val="es-CL"/>
        </w:rPr>
        <w:t>49</w:t>
      </w:r>
      <w:r>
        <w:rPr>
          <w:rFonts w:ascii="Verdana" w:hAnsi="Verdana"/>
          <w:sz w:val="20"/>
          <w:szCs w:val="20"/>
          <w:lang w:val="es-CL"/>
        </w:rPr>
        <w:t>)</w:t>
      </w:r>
      <w:r w:rsidR="009A18E6" w:rsidRPr="009A18E6">
        <w:rPr>
          <w:rFonts w:ascii="Verdana" w:hAnsi="Verdana"/>
          <w:sz w:val="20"/>
          <w:szCs w:val="20"/>
          <w:lang w:val="es-CL"/>
        </w:rPr>
        <w:t>, 1-10.</w:t>
      </w:r>
      <w:r w:rsidR="004B6508" w:rsidRPr="004B6508">
        <w:t xml:space="preserve"> </w:t>
      </w:r>
      <w:r w:rsidR="004B6508" w:rsidRPr="004B6508">
        <w:rPr>
          <w:rFonts w:ascii="Verdana" w:hAnsi="Verdana"/>
          <w:sz w:val="20"/>
          <w:szCs w:val="20"/>
          <w:lang w:val="es-CL"/>
        </w:rPr>
        <w:t>http://dx.doi.org/10.4067/S0717-554X2014000100001</w:t>
      </w:r>
    </w:p>
    <w:p w14:paraId="4DF04205" w14:textId="77777777" w:rsidR="009A18E6" w:rsidRPr="009A18E6" w:rsidRDefault="009A18E6" w:rsidP="009A18E6">
      <w:pPr>
        <w:pStyle w:val="Sinespaciado"/>
        <w:spacing w:line="360" w:lineRule="auto"/>
        <w:jc w:val="both"/>
        <w:rPr>
          <w:rFonts w:ascii="Verdana" w:hAnsi="Verdana" w:cs="Arial"/>
          <w:sz w:val="20"/>
          <w:szCs w:val="20"/>
          <w:lang w:val="es-CL"/>
        </w:rPr>
      </w:pPr>
    </w:p>
    <w:p w14:paraId="1521A232" w14:textId="77379C96" w:rsidR="009A18E6" w:rsidRPr="009A18E6" w:rsidRDefault="001A5297" w:rsidP="009A18E6">
      <w:pPr>
        <w:pStyle w:val="Sinespaciado"/>
        <w:spacing w:line="360" w:lineRule="auto"/>
        <w:jc w:val="both"/>
        <w:rPr>
          <w:rFonts w:ascii="Verdana" w:hAnsi="Verdana" w:cs="Arial"/>
          <w:sz w:val="20"/>
          <w:szCs w:val="20"/>
        </w:rPr>
      </w:pPr>
      <w:r>
        <w:rPr>
          <w:rFonts w:ascii="Verdana" w:hAnsi="Verdana" w:cs="Arial"/>
          <w:sz w:val="20"/>
          <w:szCs w:val="20"/>
          <w:lang w:val="es-CL"/>
        </w:rPr>
        <w:t>Trujillo</w:t>
      </w:r>
      <w:r w:rsidR="009A18E6" w:rsidRPr="009A18E6">
        <w:rPr>
          <w:rFonts w:ascii="Verdana" w:hAnsi="Verdana" w:cs="Arial"/>
          <w:sz w:val="20"/>
          <w:szCs w:val="20"/>
          <w:lang w:val="es-CL"/>
        </w:rPr>
        <w:t xml:space="preserve">, M. </w:t>
      </w:r>
      <w:r>
        <w:rPr>
          <w:rFonts w:ascii="Verdana" w:hAnsi="Verdana" w:cs="Arial"/>
          <w:sz w:val="20"/>
          <w:szCs w:val="20"/>
        </w:rPr>
        <w:t xml:space="preserve">(2019). </w:t>
      </w:r>
      <w:r w:rsidR="009A18E6" w:rsidRPr="009A18E6">
        <w:rPr>
          <w:rFonts w:ascii="Verdana" w:hAnsi="Verdana" w:cs="Arial"/>
          <w:sz w:val="20"/>
          <w:szCs w:val="20"/>
        </w:rPr>
        <w:t>Misoginia y violencia hacia las mujeres: dimensiones simbólicas del género</w:t>
      </w:r>
      <w:r>
        <w:rPr>
          <w:rFonts w:ascii="Verdana" w:hAnsi="Verdana" w:cs="Arial"/>
          <w:sz w:val="20"/>
          <w:szCs w:val="20"/>
        </w:rPr>
        <w:t xml:space="preserve"> y del patriarcado. </w:t>
      </w:r>
      <w:r w:rsidRPr="001A5297">
        <w:rPr>
          <w:rFonts w:ascii="Verdana" w:hAnsi="Verdana" w:cs="Arial"/>
          <w:i/>
          <w:sz w:val="20"/>
          <w:szCs w:val="20"/>
        </w:rPr>
        <w:t>Atenea</w:t>
      </w:r>
      <w:r>
        <w:rPr>
          <w:rFonts w:ascii="Verdana" w:hAnsi="Verdana" w:cs="Arial"/>
          <w:sz w:val="20"/>
          <w:szCs w:val="20"/>
        </w:rPr>
        <w:t>, (</w:t>
      </w:r>
      <w:r w:rsidR="009A18E6" w:rsidRPr="009A18E6">
        <w:rPr>
          <w:rFonts w:ascii="Verdana" w:hAnsi="Verdana" w:cs="Arial"/>
          <w:sz w:val="20"/>
          <w:szCs w:val="20"/>
        </w:rPr>
        <w:t>519</w:t>
      </w:r>
      <w:r>
        <w:rPr>
          <w:rFonts w:ascii="Verdana" w:hAnsi="Verdana" w:cs="Arial"/>
          <w:sz w:val="20"/>
          <w:szCs w:val="20"/>
        </w:rPr>
        <w:t>)</w:t>
      </w:r>
      <w:r w:rsidR="009A18E6" w:rsidRPr="009A18E6">
        <w:rPr>
          <w:rFonts w:ascii="Verdana" w:hAnsi="Verdana" w:cs="Arial"/>
          <w:sz w:val="20"/>
          <w:szCs w:val="20"/>
        </w:rPr>
        <w:t>, 49-64. </w:t>
      </w:r>
      <w:r w:rsidR="004B6508" w:rsidRPr="004B6508">
        <w:rPr>
          <w:rFonts w:ascii="Verdana" w:hAnsi="Verdana" w:cs="Arial"/>
          <w:sz w:val="20"/>
          <w:szCs w:val="20"/>
        </w:rPr>
        <w:t>http://dx.doi.org/10.4067/S0718-04622019000100049</w:t>
      </w:r>
    </w:p>
    <w:p w14:paraId="0E7D2539" w14:textId="3599CBFC" w:rsidR="009A18E6" w:rsidRDefault="009A18E6" w:rsidP="009A18E6">
      <w:pPr>
        <w:pStyle w:val="Sinespaciado"/>
        <w:spacing w:line="360" w:lineRule="auto"/>
        <w:jc w:val="both"/>
        <w:rPr>
          <w:rFonts w:ascii="Verdana" w:hAnsi="Verdana"/>
          <w:sz w:val="20"/>
          <w:szCs w:val="20"/>
        </w:rPr>
      </w:pPr>
    </w:p>
    <w:p w14:paraId="51C5C158" w14:textId="4C6ECBA3" w:rsidR="00284A16" w:rsidRPr="00284A16" w:rsidRDefault="00284A16" w:rsidP="00284A16">
      <w:pPr>
        <w:pStyle w:val="Sinespaciado"/>
        <w:spacing w:line="360" w:lineRule="auto"/>
        <w:rPr>
          <w:rFonts w:ascii="Verdana" w:hAnsi="Verdana"/>
          <w:sz w:val="20"/>
          <w:szCs w:val="20"/>
        </w:rPr>
      </w:pPr>
      <w:r>
        <w:rPr>
          <w:rFonts w:ascii="Verdana" w:hAnsi="Verdana"/>
          <w:sz w:val="20"/>
          <w:szCs w:val="20"/>
        </w:rPr>
        <w:t xml:space="preserve">Van </w:t>
      </w:r>
      <w:proofErr w:type="spellStart"/>
      <w:r>
        <w:rPr>
          <w:rFonts w:ascii="Verdana" w:hAnsi="Verdana"/>
          <w:sz w:val="20"/>
          <w:szCs w:val="20"/>
        </w:rPr>
        <w:t>Dijk</w:t>
      </w:r>
      <w:proofErr w:type="spellEnd"/>
      <w:r>
        <w:rPr>
          <w:rFonts w:ascii="Verdana" w:hAnsi="Verdana"/>
          <w:sz w:val="20"/>
          <w:szCs w:val="20"/>
        </w:rPr>
        <w:t>, T. (</w:t>
      </w:r>
      <w:r w:rsidRPr="00284A16">
        <w:rPr>
          <w:rFonts w:ascii="Verdana" w:hAnsi="Verdana"/>
          <w:sz w:val="20"/>
          <w:szCs w:val="20"/>
        </w:rPr>
        <w:t>2019</w:t>
      </w:r>
      <w:r>
        <w:rPr>
          <w:rFonts w:ascii="Verdana" w:hAnsi="Verdana"/>
          <w:sz w:val="20"/>
          <w:szCs w:val="20"/>
        </w:rPr>
        <w:t>)</w:t>
      </w:r>
      <w:r w:rsidRPr="00284A16">
        <w:rPr>
          <w:rFonts w:ascii="Verdana" w:hAnsi="Verdana"/>
          <w:sz w:val="20"/>
          <w:szCs w:val="20"/>
        </w:rPr>
        <w:t xml:space="preserve">. </w:t>
      </w:r>
      <w:r w:rsidRPr="00284A16">
        <w:rPr>
          <w:rFonts w:ascii="Verdana" w:hAnsi="Verdana"/>
          <w:i/>
          <w:sz w:val="20"/>
          <w:szCs w:val="20"/>
        </w:rPr>
        <w:t>Racismo y discurso en América Latina</w:t>
      </w:r>
      <w:r w:rsidRPr="00284A16">
        <w:rPr>
          <w:rFonts w:ascii="Verdana" w:hAnsi="Verdana"/>
          <w:sz w:val="20"/>
          <w:szCs w:val="20"/>
        </w:rPr>
        <w:t xml:space="preserve">. Barcelona: </w:t>
      </w:r>
      <w:proofErr w:type="spellStart"/>
      <w:r w:rsidRPr="00284A16">
        <w:rPr>
          <w:rFonts w:ascii="Verdana" w:hAnsi="Verdana"/>
          <w:sz w:val="20"/>
          <w:szCs w:val="20"/>
        </w:rPr>
        <w:t>Gedisa</w:t>
      </w:r>
      <w:proofErr w:type="spellEnd"/>
      <w:r w:rsidRPr="00284A16">
        <w:rPr>
          <w:rFonts w:ascii="Verdana" w:hAnsi="Verdana"/>
          <w:sz w:val="20"/>
          <w:szCs w:val="20"/>
        </w:rPr>
        <w:t>.</w:t>
      </w:r>
    </w:p>
    <w:p w14:paraId="68335916" w14:textId="77777777" w:rsidR="00284A16" w:rsidRPr="009A18E6" w:rsidRDefault="00284A16" w:rsidP="009A18E6">
      <w:pPr>
        <w:pStyle w:val="Sinespaciado"/>
        <w:spacing w:line="360" w:lineRule="auto"/>
        <w:jc w:val="both"/>
        <w:rPr>
          <w:rFonts w:ascii="Verdana" w:hAnsi="Verdana"/>
          <w:sz w:val="20"/>
          <w:szCs w:val="20"/>
        </w:rPr>
      </w:pPr>
    </w:p>
    <w:p w14:paraId="1BA7ACBA" w14:textId="383484F4" w:rsidR="00720A5B" w:rsidRPr="006953A6" w:rsidRDefault="009A18E6" w:rsidP="003D1236">
      <w:pPr>
        <w:pStyle w:val="Sinespaciado"/>
        <w:spacing w:line="360" w:lineRule="auto"/>
        <w:jc w:val="both"/>
        <w:rPr>
          <w:rFonts w:ascii="Verdana" w:hAnsi="Verdana"/>
          <w:sz w:val="20"/>
          <w:szCs w:val="20"/>
        </w:rPr>
      </w:pPr>
      <w:r w:rsidRPr="009A18E6">
        <w:rPr>
          <w:rFonts w:ascii="Verdana" w:hAnsi="Verdana"/>
          <w:sz w:val="20"/>
          <w:szCs w:val="20"/>
        </w:rPr>
        <w:t>Z</w:t>
      </w:r>
      <w:r w:rsidR="001A5297">
        <w:rPr>
          <w:rFonts w:ascii="Verdana" w:hAnsi="Verdana"/>
          <w:sz w:val="20"/>
          <w:szCs w:val="20"/>
        </w:rPr>
        <w:t>úñiga</w:t>
      </w:r>
      <w:r w:rsidRPr="009A18E6">
        <w:rPr>
          <w:rFonts w:ascii="Verdana" w:hAnsi="Verdana"/>
          <w:sz w:val="20"/>
          <w:szCs w:val="20"/>
        </w:rPr>
        <w:t>, C. (2015). ¿Cómo se ha enseñado historia en Chile? Análisis de programas de estudio para enseñanza secundaria</w:t>
      </w:r>
      <w:r w:rsidR="001A5297">
        <w:rPr>
          <w:rFonts w:ascii="Verdana" w:hAnsi="Verdana"/>
          <w:sz w:val="20"/>
          <w:szCs w:val="20"/>
        </w:rPr>
        <w:t xml:space="preserve">. </w:t>
      </w:r>
      <w:r w:rsidRPr="001A5297">
        <w:rPr>
          <w:rFonts w:ascii="Verdana" w:hAnsi="Verdana"/>
          <w:bCs/>
          <w:i/>
          <w:sz w:val="20"/>
          <w:szCs w:val="20"/>
        </w:rPr>
        <w:t>Pensamiento Educativo. Revista de Investigación Educacional Lat</w:t>
      </w:r>
      <w:r w:rsidR="001A5297" w:rsidRPr="001A5297">
        <w:rPr>
          <w:rFonts w:ascii="Verdana" w:hAnsi="Verdana"/>
          <w:bCs/>
          <w:i/>
          <w:sz w:val="20"/>
          <w:szCs w:val="20"/>
        </w:rPr>
        <w:t>inoamericana, 52</w:t>
      </w:r>
      <w:r w:rsidR="001A5297">
        <w:rPr>
          <w:rFonts w:ascii="Verdana" w:hAnsi="Verdana"/>
          <w:bCs/>
          <w:sz w:val="20"/>
          <w:szCs w:val="20"/>
        </w:rPr>
        <w:t>(1)</w:t>
      </w:r>
      <w:r w:rsidR="001A5297">
        <w:rPr>
          <w:rFonts w:ascii="Verdana" w:hAnsi="Verdana"/>
          <w:sz w:val="20"/>
          <w:szCs w:val="20"/>
        </w:rPr>
        <w:t>,</w:t>
      </w:r>
      <w:r w:rsidRPr="009A18E6">
        <w:rPr>
          <w:rFonts w:ascii="Verdana" w:hAnsi="Verdana"/>
          <w:sz w:val="20"/>
          <w:szCs w:val="20"/>
        </w:rPr>
        <w:t xml:space="preserve"> 119-135.</w:t>
      </w:r>
      <w:r w:rsidR="004B6508" w:rsidRPr="004B6508">
        <w:t xml:space="preserve"> </w:t>
      </w:r>
      <w:r w:rsidR="004B6508" w:rsidRPr="004B6508">
        <w:rPr>
          <w:rFonts w:ascii="Verdana" w:hAnsi="Verdana"/>
          <w:sz w:val="20"/>
          <w:szCs w:val="20"/>
        </w:rPr>
        <w:t>http://dx.doi.org/10.7764/PEL.52.1.2015.9</w:t>
      </w:r>
    </w:p>
    <w:sectPr w:rsidR="00720A5B" w:rsidRPr="006953A6" w:rsidSect="00051392">
      <w:headerReference w:type="default" r:id="rId14"/>
      <w:footerReference w:type="default" r:id="rId15"/>
      <w:pgSz w:w="12240" w:h="15840" w:code="1"/>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9FB5B" w14:textId="77777777" w:rsidR="00020E63" w:rsidRDefault="00020E63">
      <w:pPr>
        <w:spacing w:after="0" w:line="240" w:lineRule="auto"/>
      </w:pPr>
      <w:r>
        <w:separator/>
      </w:r>
    </w:p>
  </w:endnote>
  <w:endnote w:type="continuationSeparator" w:id="0">
    <w:p w14:paraId="0E25F95B" w14:textId="77777777" w:rsidR="00020E63" w:rsidRDefault="0002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16FA" w14:textId="2F8C40BF" w:rsidR="003006FE" w:rsidRDefault="003006F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C4445">
      <w:rPr>
        <w:noProof/>
        <w:color w:val="000000"/>
      </w:rPr>
      <w:t>1</w:t>
    </w:r>
    <w:r>
      <w:rPr>
        <w:color w:val="000000"/>
      </w:rPr>
      <w:fldChar w:fldCharType="end"/>
    </w:r>
  </w:p>
  <w:p w14:paraId="60134FEE" w14:textId="77777777" w:rsidR="003006FE" w:rsidRDefault="003006F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725BB" w14:textId="77777777" w:rsidR="00020E63" w:rsidRDefault="00020E63">
      <w:pPr>
        <w:spacing w:after="0" w:line="240" w:lineRule="auto"/>
      </w:pPr>
      <w:r>
        <w:separator/>
      </w:r>
    </w:p>
  </w:footnote>
  <w:footnote w:type="continuationSeparator" w:id="0">
    <w:p w14:paraId="2B17CED7" w14:textId="77777777" w:rsidR="00020E63" w:rsidRDefault="00020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812C" w14:textId="77777777" w:rsidR="003006FE" w:rsidRDefault="003006FE">
    <w:pPr>
      <w:pBdr>
        <w:top w:val="nil"/>
        <w:left w:val="nil"/>
        <w:bottom w:val="nil"/>
        <w:right w:val="nil"/>
        <w:between w:val="nil"/>
      </w:pBdr>
      <w:tabs>
        <w:tab w:val="center" w:pos="4419"/>
        <w:tab w:val="right" w:pos="8838"/>
      </w:tabs>
      <w:spacing w:after="0" w:line="240" w:lineRule="auto"/>
      <w:jc w:val="right"/>
      <w:rPr>
        <w:color w:val="000000"/>
      </w:rPr>
    </w:pPr>
  </w:p>
  <w:p w14:paraId="49BC49BA" w14:textId="77777777" w:rsidR="003006FE" w:rsidRDefault="003006FE">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ED"/>
    <w:rsid w:val="00005F84"/>
    <w:rsid w:val="00007DE1"/>
    <w:rsid w:val="00014679"/>
    <w:rsid w:val="00015F10"/>
    <w:rsid w:val="000167E0"/>
    <w:rsid w:val="00016B7A"/>
    <w:rsid w:val="00017154"/>
    <w:rsid w:val="0002053D"/>
    <w:rsid w:val="00020A5A"/>
    <w:rsid w:val="00020E63"/>
    <w:rsid w:val="000212B3"/>
    <w:rsid w:val="00022077"/>
    <w:rsid w:val="00023A21"/>
    <w:rsid w:val="0002409F"/>
    <w:rsid w:val="000262A3"/>
    <w:rsid w:val="00027DC5"/>
    <w:rsid w:val="00031730"/>
    <w:rsid w:val="00033052"/>
    <w:rsid w:val="0003469E"/>
    <w:rsid w:val="000356B3"/>
    <w:rsid w:val="00036D5F"/>
    <w:rsid w:val="00037040"/>
    <w:rsid w:val="000426E0"/>
    <w:rsid w:val="00043A39"/>
    <w:rsid w:val="00044FFE"/>
    <w:rsid w:val="000456CF"/>
    <w:rsid w:val="00045864"/>
    <w:rsid w:val="0004707B"/>
    <w:rsid w:val="00050C6F"/>
    <w:rsid w:val="00051392"/>
    <w:rsid w:val="000518FA"/>
    <w:rsid w:val="000520F2"/>
    <w:rsid w:val="00052AF7"/>
    <w:rsid w:val="00053389"/>
    <w:rsid w:val="000534F4"/>
    <w:rsid w:val="00053BD7"/>
    <w:rsid w:val="00054E0D"/>
    <w:rsid w:val="000552B8"/>
    <w:rsid w:val="00055B61"/>
    <w:rsid w:val="00056E49"/>
    <w:rsid w:val="000606CF"/>
    <w:rsid w:val="000621A0"/>
    <w:rsid w:val="00064CFF"/>
    <w:rsid w:val="0006508D"/>
    <w:rsid w:val="00065C29"/>
    <w:rsid w:val="00067F25"/>
    <w:rsid w:val="000732C9"/>
    <w:rsid w:val="000753AC"/>
    <w:rsid w:val="00081372"/>
    <w:rsid w:val="0009278A"/>
    <w:rsid w:val="0009298A"/>
    <w:rsid w:val="00094BEC"/>
    <w:rsid w:val="00096BFA"/>
    <w:rsid w:val="000974A9"/>
    <w:rsid w:val="000A0CC0"/>
    <w:rsid w:val="000A3D22"/>
    <w:rsid w:val="000A73F5"/>
    <w:rsid w:val="000B068E"/>
    <w:rsid w:val="000B1AF0"/>
    <w:rsid w:val="000B1C21"/>
    <w:rsid w:val="000B49BE"/>
    <w:rsid w:val="000B7328"/>
    <w:rsid w:val="000C080F"/>
    <w:rsid w:val="000C1172"/>
    <w:rsid w:val="000C1F17"/>
    <w:rsid w:val="000C24F7"/>
    <w:rsid w:val="000C250D"/>
    <w:rsid w:val="000C4817"/>
    <w:rsid w:val="000C658C"/>
    <w:rsid w:val="000C696C"/>
    <w:rsid w:val="000D0936"/>
    <w:rsid w:val="000D14D2"/>
    <w:rsid w:val="000D289B"/>
    <w:rsid w:val="000D46F0"/>
    <w:rsid w:val="000D4888"/>
    <w:rsid w:val="000D54A2"/>
    <w:rsid w:val="000E1FF0"/>
    <w:rsid w:val="000E48FC"/>
    <w:rsid w:val="000E6291"/>
    <w:rsid w:val="000F19E6"/>
    <w:rsid w:val="000F4082"/>
    <w:rsid w:val="000F4D45"/>
    <w:rsid w:val="000F7B24"/>
    <w:rsid w:val="00100FD8"/>
    <w:rsid w:val="00101C97"/>
    <w:rsid w:val="001035CB"/>
    <w:rsid w:val="00103E96"/>
    <w:rsid w:val="00104B30"/>
    <w:rsid w:val="001057BB"/>
    <w:rsid w:val="0011014A"/>
    <w:rsid w:val="00112837"/>
    <w:rsid w:val="00112CEB"/>
    <w:rsid w:val="00112DFC"/>
    <w:rsid w:val="00113A7F"/>
    <w:rsid w:val="00116F33"/>
    <w:rsid w:val="0012023D"/>
    <w:rsid w:val="00120714"/>
    <w:rsid w:val="00121F09"/>
    <w:rsid w:val="00122775"/>
    <w:rsid w:val="00122ACD"/>
    <w:rsid w:val="00123336"/>
    <w:rsid w:val="00124D10"/>
    <w:rsid w:val="00130EC7"/>
    <w:rsid w:val="00136CA6"/>
    <w:rsid w:val="00137600"/>
    <w:rsid w:val="0014177E"/>
    <w:rsid w:val="00141D2A"/>
    <w:rsid w:val="00141FBA"/>
    <w:rsid w:val="001435E1"/>
    <w:rsid w:val="001467A1"/>
    <w:rsid w:val="001468D5"/>
    <w:rsid w:val="00154355"/>
    <w:rsid w:val="00154745"/>
    <w:rsid w:val="00156479"/>
    <w:rsid w:val="00160E0E"/>
    <w:rsid w:val="00162FC3"/>
    <w:rsid w:val="00164487"/>
    <w:rsid w:val="0016464F"/>
    <w:rsid w:val="001701EF"/>
    <w:rsid w:val="0017038B"/>
    <w:rsid w:val="00176998"/>
    <w:rsid w:val="00180283"/>
    <w:rsid w:val="00181B84"/>
    <w:rsid w:val="001825B1"/>
    <w:rsid w:val="00185348"/>
    <w:rsid w:val="00186C05"/>
    <w:rsid w:val="00193BD5"/>
    <w:rsid w:val="00195A9B"/>
    <w:rsid w:val="001963C1"/>
    <w:rsid w:val="00196532"/>
    <w:rsid w:val="001A2C49"/>
    <w:rsid w:val="001A4861"/>
    <w:rsid w:val="001A5297"/>
    <w:rsid w:val="001A55FD"/>
    <w:rsid w:val="001B4ABB"/>
    <w:rsid w:val="001C27A7"/>
    <w:rsid w:val="001C2A1F"/>
    <w:rsid w:val="001C3C91"/>
    <w:rsid w:val="001C455B"/>
    <w:rsid w:val="001D0274"/>
    <w:rsid w:val="001D35D8"/>
    <w:rsid w:val="001D40CE"/>
    <w:rsid w:val="001E0EB0"/>
    <w:rsid w:val="001E14E0"/>
    <w:rsid w:val="001E608A"/>
    <w:rsid w:val="001F1118"/>
    <w:rsid w:val="001F1A0E"/>
    <w:rsid w:val="001F1A25"/>
    <w:rsid w:val="001F1F4D"/>
    <w:rsid w:val="001F739D"/>
    <w:rsid w:val="001F7FEB"/>
    <w:rsid w:val="00205AFA"/>
    <w:rsid w:val="002139D7"/>
    <w:rsid w:val="00214D0E"/>
    <w:rsid w:val="002210EA"/>
    <w:rsid w:val="0022116D"/>
    <w:rsid w:val="002216B1"/>
    <w:rsid w:val="002223B8"/>
    <w:rsid w:val="00222C69"/>
    <w:rsid w:val="00224391"/>
    <w:rsid w:val="00225BB3"/>
    <w:rsid w:val="002279CF"/>
    <w:rsid w:val="00231039"/>
    <w:rsid w:val="002335B6"/>
    <w:rsid w:val="00242B5E"/>
    <w:rsid w:val="0024322E"/>
    <w:rsid w:val="0024476C"/>
    <w:rsid w:val="00244970"/>
    <w:rsid w:val="0024525C"/>
    <w:rsid w:val="00251341"/>
    <w:rsid w:val="00251D4E"/>
    <w:rsid w:val="00252782"/>
    <w:rsid w:val="00253397"/>
    <w:rsid w:val="00253401"/>
    <w:rsid w:val="00255D9A"/>
    <w:rsid w:val="00257BAE"/>
    <w:rsid w:val="00261236"/>
    <w:rsid w:val="00261717"/>
    <w:rsid w:val="00263B63"/>
    <w:rsid w:val="00264020"/>
    <w:rsid w:val="00266634"/>
    <w:rsid w:val="002745C4"/>
    <w:rsid w:val="002749F9"/>
    <w:rsid w:val="00276855"/>
    <w:rsid w:val="00282699"/>
    <w:rsid w:val="00283192"/>
    <w:rsid w:val="0028445C"/>
    <w:rsid w:val="00284A16"/>
    <w:rsid w:val="00285C4D"/>
    <w:rsid w:val="0028621C"/>
    <w:rsid w:val="002912CD"/>
    <w:rsid w:val="00292F74"/>
    <w:rsid w:val="00295116"/>
    <w:rsid w:val="00295CE2"/>
    <w:rsid w:val="002A1165"/>
    <w:rsid w:val="002A2380"/>
    <w:rsid w:val="002A41B2"/>
    <w:rsid w:val="002B21F6"/>
    <w:rsid w:val="002B4BEC"/>
    <w:rsid w:val="002B6E5E"/>
    <w:rsid w:val="002C0893"/>
    <w:rsid w:val="002C269B"/>
    <w:rsid w:val="002C3B9E"/>
    <w:rsid w:val="002C6F51"/>
    <w:rsid w:val="002D3C90"/>
    <w:rsid w:val="002D494B"/>
    <w:rsid w:val="002D512F"/>
    <w:rsid w:val="002D52AA"/>
    <w:rsid w:val="002D66A1"/>
    <w:rsid w:val="002E181B"/>
    <w:rsid w:val="002E3A90"/>
    <w:rsid w:val="002E40C8"/>
    <w:rsid w:val="002E675A"/>
    <w:rsid w:val="002E6A32"/>
    <w:rsid w:val="002E6DEA"/>
    <w:rsid w:val="002F14CB"/>
    <w:rsid w:val="002F602F"/>
    <w:rsid w:val="003006FE"/>
    <w:rsid w:val="003018B3"/>
    <w:rsid w:val="00303647"/>
    <w:rsid w:val="0030423E"/>
    <w:rsid w:val="00304CE6"/>
    <w:rsid w:val="00311AA2"/>
    <w:rsid w:val="0031329F"/>
    <w:rsid w:val="00314703"/>
    <w:rsid w:val="00316164"/>
    <w:rsid w:val="003176CA"/>
    <w:rsid w:val="003305B5"/>
    <w:rsid w:val="00330A47"/>
    <w:rsid w:val="0033494B"/>
    <w:rsid w:val="00336A72"/>
    <w:rsid w:val="00342DEF"/>
    <w:rsid w:val="00343C04"/>
    <w:rsid w:val="00343C4A"/>
    <w:rsid w:val="0034573F"/>
    <w:rsid w:val="003508C8"/>
    <w:rsid w:val="00353A19"/>
    <w:rsid w:val="00353F7B"/>
    <w:rsid w:val="00355C0E"/>
    <w:rsid w:val="003639BE"/>
    <w:rsid w:val="003642F2"/>
    <w:rsid w:val="003652CE"/>
    <w:rsid w:val="00365DF8"/>
    <w:rsid w:val="00367748"/>
    <w:rsid w:val="00370AAC"/>
    <w:rsid w:val="00371353"/>
    <w:rsid w:val="00372D77"/>
    <w:rsid w:val="00372D7B"/>
    <w:rsid w:val="003730A0"/>
    <w:rsid w:val="0037487D"/>
    <w:rsid w:val="00374990"/>
    <w:rsid w:val="00374C9F"/>
    <w:rsid w:val="003764E7"/>
    <w:rsid w:val="003806FC"/>
    <w:rsid w:val="00380879"/>
    <w:rsid w:val="00381797"/>
    <w:rsid w:val="00383E68"/>
    <w:rsid w:val="00384C9F"/>
    <w:rsid w:val="00384F95"/>
    <w:rsid w:val="00385731"/>
    <w:rsid w:val="003935E7"/>
    <w:rsid w:val="0039557F"/>
    <w:rsid w:val="00395A50"/>
    <w:rsid w:val="003A328A"/>
    <w:rsid w:val="003A366F"/>
    <w:rsid w:val="003A5BF6"/>
    <w:rsid w:val="003A6891"/>
    <w:rsid w:val="003B1847"/>
    <w:rsid w:val="003B2E68"/>
    <w:rsid w:val="003B30D7"/>
    <w:rsid w:val="003B5B75"/>
    <w:rsid w:val="003B6172"/>
    <w:rsid w:val="003B6473"/>
    <w:rsid w:val="003B66C3"/>
    <w:rsid w:val="003C1E2D"/>
    <w:rsid w:val="003C2118"/>
    <w:rsid w:val="003C3DB6"/>
    <w:rsid w:val="003C5A21"/>
    <w:rsid w:val="003C79A9"/>
    <w:rsid w:val="003D1236"/>
    <w:rsid w:val="003D24DE"/>
    <w:rsid w:val="003D6593"/>
    <w:rsid w:val="003E2C62"/>
    <w:rsid w:val="003E44D3"/>
    <w:rsid w:val="003E4539"/>
    <w:rsid w:val="003E628E"/>
    <w:rsid w:val="003E6457"/>
    <w:rsid w:val="003E7A28"/>
    <w:rsid w:val="003F11A4"/>
    <w:rsid w:val="003F2CB9"/>
    <w:rsid w:val="003F2E20"/>
    <w:rsid w:val="003F43B1"/>
    <w:rsid w:val="003F54F1"/>
    <w:rsid w:val="003F572C"/>
    <w:rsid w:val="003F5F8D"/>
    <w:rsid w:val="004005B8"/>
    <w:rsid w:val="0040439D"/>
    <w:rsid w:val="004066AD"/>
    <w:rsid w:val="00412D93"/>
    <w:rsid w:val="0041368F"/>
    <w:rsid w:val="00423089"/>
    <w:rsid w:val="00424B0D"/>
    <w:rsid w:val="00424C0C"/>
    <w:rsid w:val="004257C7"/>
    <w:rsid w:val="00425841"/>
    <w:rsid w:val="00425930"/>
    <w:rsid w:val="00426A36"/>
    <w:rsid w:val="0043284C"/>
    <w:rsid w:val="00436EC5"/>
    <w:rsid w:val="0043728C"/>
    <w:rsid w:val="00437A89"/>
    <w:rsid w:val="004454FC"/>
    <w:rsid w:val="00445F79"/>
    <w:rsid w:val="004461EA"/>
    <w:rsid w:val="004517CA"/>
    <w:rsid w:val="004521BA"/>
    <w:rsid w:val="0045270B"/>
    <w:rsid w:val="00452EAB"/>
    <w:rsid w:val="00453181"/>
    <w:rsid w:val="00453D63"/>
    <w:rsid w:val="00453D80"/>
    <w:rsid w:val="00462B09"/>
    <w:rsid w:val="0046415C"/>
    <w:rsid w:val="00464F31"/>
    <w:rsid w:val="00465CBA"/>
    <w:rsid w:val="00466821"/>
    <w:rsid w:val="00467159"/>
    <w:rsid w:val="004723BC"/>
    <w:rsid w:val="00474E3B"/>
    <w:rsid w:val="004778AE"/>
    <w:rsid w:val="004803C9"/>
    <w:rsid w:val="00481B56"/>
    <w:rsid w:val="00481DE3"/>
    <w:rsid w:val="0048648D"/>
    <w:rsid w:val="00486A41"/>
    <w:rsid w:val="00486DD9"/>
    <w:rsid w:val="00490CEB"/>
    <w:rsid w:val="00492B0F"/>
    <w:rsid w:val="00492BA3"/>
    <w:rsid w:val="004934A7"/>
    <w:rsid w:val="00495A1D"/>
    <w:rsid w:val="00496D57"/>
    <w:rsid w:val="00497813"/>
    <w:rsid w:val="004A1048"/>
    <w:rsid w:val="004A154B"/>
    <w:rsid w:val="004A2D2E"/>
    <w:rsid w:val="004A366A"/>
    <w:rsid w:val="004A3FC8"/>
    <w:rsid w:val="004A51C1"/>
    <w:rsid w:val="004B2855"/>
    <w:rsid w:val="004B41F8"/>
    <w:rsid w:val="004B4519"/>
    <w:rsid w:val="004B5493"/>
    <w:rsid w:val="004B6508"/>
    <w:rsid w:val="004B6C36"/>
    <w:rsid w:val="004B6DD7"/>
    <w:rsid w:val="004B76FD"/>
    <w:rsid w:val="004B7EE8"/>
    <w:rsid w:val="004C1147"/>
    <w:rsid w:val="004C2F6D"/>
    <w:rsid w:val="004C3F35"/>
    <w:rsid w:val="004C406E"/>
    <w:rsid w:val="004C502A"/>
    <w:rsid w:val="004C7293"/>
    <w:rsid w:val="004E17A0"/>
    <w:rsid w:val="004E4404"/>
    <w:rsid w:val="004E5C0D"/>
    <w:rsid w:val="004E60DD"/>
    <w:rsid w:val="004E61A6"/>
    <w:rsid w:val="004F57EE"/>
    <w:rsid w:val="004F620E"/>
    <w:rsid w:val="004F6B57"/>
    <w:rsid w:val="004F762A"/>
    <w:rsid w:val="004F7924"/>
    <w:rsid w:val="00502B31"/>
    <w:rsid w:val="005063B9"/>
    <w:rsid w:val="0051164D"/>
    <w:rsid w:val="00511E59"/>
    <w:rsid w:val="0051276D"/>
    <w:rsid w:val="00520AF6"/>
    <w:rsid w:val="005234AC"/>
    <w:rsid w:val="0052453D"/>
    <w:rsid w:val="00526243"/>
    <w:rsid w:val="0053434A"/>
    <w:rsid w:val="00536F12"/>
    <w:rsid w:val="00541425"/>
    <w:rsid w:val="0054228E"/>
    <w:rsid w:val="00542B37"/>
    <w:rsid w:val="00544E5B"/>
    <w:rsid w:val="00552927"/>
    <w:rsid w:val="005560C0"/>
    <w:rsid w:val="00557440"/>
    <w:rsid w:val="00560EE5"/>
    <w:rsid w:val="00566499"/>
    <w:rsid w:val="00567642"/>
    <w:rsid w:val="005676DC"/>
    <w:rsid w:val="00570F6C"/>
    <w:rsid w:val="005760D6"/>
    <w:rsid w:val="005815A9"/>
    <w:rsid w:val="00581750"/>
    <w:rsid w:val="0058245E"/>
    <w:rsid w:val="00582FC4"/>
    <w:rsid w:val="005849DD"/>
    <w:rsid w:val="00584F6A"/>
    <w:rsid w:val="00587868"/>
    <w:rsid w:val="00590755"/>
    <w:rsid w:val="005943A7"/>
    <w:rsid w:val="005A2DFA"/>
    <w:rsid w:val="005A323A"/>
    <w:rsid w:val="005A5ABD"/>
    <w:rsid w:val="005A66BF"/>
    <w:rsid w:val="005B0350"/>
    <w:rsid w:val="005B0E27"/>
    <w:rsid w:val="005B5835"/>
    <w:rsid w:val="005C35E5"/>
    <w:rsid w:val="005C5385"/>
    <w:rsid w:val="005C6618"/>
    <w:rsid w:val="005C676C"/>
    <w:rsid w:val="005C748D"/>
    <w:rsid w:val="005C7A0E"/>
    <w:rsid w:val="005D13CD"/>
    <w:rsid w:val="005D271C"/>
    <w:rsid w:val="005D29C3"/>
    <w:rsid w:val="005D2D96"/>
    <w:rsid w:val="005D63F6"/>
    <w:rsid w:val="005D646D"/>
    <w:rsid w:val="005E3506"/>
    <w:rsid w:val="005E6965"/>
    <w:rsid w:val="005E7E4B"/>
    <w:rsid w:val="005F0772"/>
    <w:rsid w:val="005F0CE6"/>
    <w:rsid w:val="005F44F4"/>
    <w:rsid w:val="005F454E"/>
    <w:rsid w:val="005F54A3"/>
    <w:rsid w:val="005F5969"/>
    <w:rsid w:val="005F5E4D"/>
    <w:rsid w:val="005F7BEE"/>
    <w:rsid w:val="0060378F"/>
    <w:rsid w:val="00607AC2"/>
    <w:rsid w:val="00607C95"/>
    <w:rsid w:val="006104AF"/>
    <w:rsid w:val="00611ECD"/>
    <w:rsid w:val="00614407"/>
    <w:rsid w:val="0061478E"/>
    <w:rsid w:val="006149BE"/>
    <w:rsid w:val="0061559A"/>
    <w:rsid w:val="00615EA8"/>
    <w:rsid w:val="0061654D"/>
    <w:rsid w:val="00616698"/>
    <w:rsid w:val="00617534"/>
    <w:rsid w:val="00620825"/>
    <w:rsid w:val="00621884"/>
    <w:rsid w:val="00624EDE"/>
    <w:rsid w:val="006253AD"/>
    <w:rsid w:val="00634996"/>
    <w:rsid w:val="00637BC1"/>
    <w:rsid w:val="00643A43"/>
    <w:rsid w:val="00643B04"/>
    <w:rsid w:val="00650474"/>
    <w:rsid w:val="00657054"/>
    <w:rsid w:val="00657736"/>
    <w:rsid w:val="00657750"/>
    <w:rsid w:val="00663A93"/>
    <w:rsid w:val="006665CF"/>
    <w:rsid w:val="0066763F"/>
    <w:rsid w:val="00670EAB"/>
    <w:rsid w:val="00671CCF"/>
    <w:rsid w:val="006723CB"/>
    <w:rsid w:val="00677CD1"/>
    <w:rsid w:val="0068085A"/>
    <w:rsid w:val="0068094D"/>
    <w:rsid w:val="00680F80"/>
    <w:rsid w:val="0068163D"/>
    <w:rsid w:val="00683BC5"/>
    <w:rsid w:val="00685981"/>
    <w:rsid w:val="006914FF"/>
    <w:rsid w:val="0069343B"/>
    <w:rsid w:val="0069456D"/>
    <w:rsid w:val="00694FE6"/>
    <w:rsid w:val="0069507C"/>
    <w:rsid w:val="006953A6"/>
    <w:rsid w:val="00696ED1"/>
    <w:rsid w:val="006A1F97"/>
    <w:rsid w:val="006A2D37"/>
    <w:rsid w:val="006A305E"/>
    <w:rsid w:val="006A35E9"/>
    <w:rsid w:val="006A64FD"/>
    <w:rsid w:val="006A6922"/>
    <w:rsid w:val="006A7617"/>
    <w:rsid w:val="006B561F"/>
    <w:rsid w:val="006C001F"/>
    <w:rsid w:val="006C0D1C"/>
    <w:rsid w:val="006C1A09"/>
    <w:rsid w:val="006C3C05"/>
    <w:rsid w:val="006C653F"/>
    <w:rsid w:val="006C6649"/>
    <w:rsid w:val="006C766B"/>
    <w:rsid w:val="006D3CE7"/>
    <w:rsid w:val="006D459B"/>
    <w:rsid w:val="006D5822"/>
    <w:rsid w:val="006D5CDD"/>
    <w:rsid w:val="006D6142"/>
    <w:rsid w:val="006D71B5"/>
    <w:rsid w:val="006E0068"/>
    <w:rsid w:val="006E1152"/>
    <w:rsid w:val="006E36B5"/>
    <w:rsid w:val="006E3DA9"/>
    <w:rsid w:val="006E5E7F"/>
    <w:rsid w:val="006F134A"/>
    <w:rsid w:val="006F59B8"/>
    <w:rsid w:val="006F6CA5"/>
    <w:rsid w:val="006F7259"/>
    <w:rsid w:val="006F7794"/>
    <w:rsid w:val="00703EEE"/>
    <w:rsid w:val="00704D4B"/>
    <w:rsid w:val="007143E4"/>
    <w:rsid w:val="00720A5B"/>
    <w:rsid w:val="007227CB"/>
    <w:rsid w:val="00730458"/>
    <w:rsid w:val="00730FE9"/>
    <w:rsid w:val="0073155F"/>
    <w:rsid w:val="0073241D"/>
    <w:rsid w:val="007325A7"/>
    <w:rsid w:val="00732652"/>
    <w:rsid w:val="00732C59"/>
    <w:rsid w:val="007340B4"/>
    <w:rsid w:val="007356C4"/>
    <w:rsid w:val="00735CCE"/>
    <w:rsid w:val="007400E6"/>
    <w:rsid w:val="007425F0"/>
    <w:rsid w:val="00745D79"/>
    <w:rsid w:val="00747D1E"/>
    <w:rsid w:val="00747D80"/>
    <w:rsid w:val="007513FA"/>
    <w:rsid w:val="00751C37"/>
    <w:rsid w:val="0075568B"/>
    <w:rsid w:val="00755EF6"/>
    <w:rsid w:val="00757502"/>
    <w:rsid w:val="00757E09"/>
    <w:rsid w:val="00760E77"/>
    <w:rsid w:val="00765E5B"/>
    <w:rsid w:val="00766D7C"/>
    <w:rsid w:val="00770895"/>
    <w:rsid w:val="007720AE"/>
    <w:rsid w:val="0077296E"/>
    <w:rsid w:val="00774EDE"/>
    <w:rsid w:val="007822FB"/>
    <w:rsid w:val="0078236E"/>
    <w:rsid w:val="007833D4"/>
    <w:rsid w:val="0078430E"/>
    <w:rsid w:val="00784BC3"/>
    <w:rsid w:val="00784F48"/>
    <w:rsid w:val="00790E00"/>
    <w:rsid w:val="00791669"/>
    <w:rsid w:val="00792B11"/>
    <w:rsid w:val="00793739"/>
    <w:rsid w:val="00793D57"/>
    <w:rsid w:val="00794D93"/>
    <w:rsid w:val="0079510E"/>
    <w:rsid w:val="00795FC3"/>
    <w:rsid w:val="007962AD"/>
    <w:rsid w:val="00796F7E"/>
    <w:rsid w:val="007A254A"/>
    <w:rsid w:val="007A4C4C"/>
    <w:rsid w:val="007B15E9"/>
    <w:rsid w:val="007B3B2B"/>
    <w:rsid w:val="007C08AA"/>
    <w:rsid w:val="007C4AD4"/>
    <w:rsid w:val="007C713A"/>
    <w:rsid w:val="007D016F"/>
    <w:rsid w:val="007D09C7"/>
    <w:rsid w:val="007D12C7"/>
    <w:rsid w:val="007D1422"/>
    <w:rsid w:val="007E040F"/>
    <w:rsid w:val="007E1937"/>
    <w:rsid w:val="007E3CDE"/>
    <w:rsid w:val="007E3EC2"/>
    <w:rsid w:val="007F3B97"/>
    <w:rsid w:val="007F693D"/>
    <w:rsid w:val="008038C6"/>
    <w:rsid w:val="008049F3"/>
    <w:rsid w:val="00806E6C"/>
    <w:rsid w:val="00806EFC"/>
    <w:rsid w:val="00812716"/>
    <w:rsid w:val="00813A88"/>
    <w:rsid w:val="00814035"/>
    <w:rsid w:val="00814A4F"/>
    <w:rsid w:val="00814D5B"/>
    <w:rsid w:val="0081536A"/>
    <w:rsid w:val="0081648E"/>
    <w:rsid w:val="008202A9"/>
    <w:rsid w:val="00820921"/>
    <w:rsid w:val="00820D59"/>
    <w:rsid w:val="00823324"/>
    <w:rsid w:val="00826712"/>
    <w:rsid w:val="00831AE9"/>
    <w:rsid w:val="008328AC"/>
    <w:rsid w:val="008343EA"/>
    <w:rsid w:val="0083603F"/>
    <w:rsid w:val="00840051"/>
    <w:rsid w:val="00842201"/>
    <w:rsid w:val="0084222F"/>
    <w:rsid w:val="00842A21"/>
    <w:rsid w:val="00845B59"/>
    <w:rsid w:val="008465A2"/>
    <w:rsid w:val="00846886"/>
    <w:rsid w:val="00854852"/>
    <w:rsid w:val="00857FA3"/>
    <w:rsid w:val="008607A8"/>
    <w:rsid w:val="00860D96"/>
    <w:rsid w:val="008617AB"/>
    <w:rsid w:val="008619A3"/>
    <w:rsid w:val="00863485"/>
    <w:rsid w:val="008666C9"/>
    <w:rsid w:val="00866E74"/>
    <w:rsid w:val="0087081B"/>
    <w:rsid w:val="00875A54"/>
    <w:rsid w:val="00880397"/>
    <w:rsid w:val="008817CC"/>
    <w:rsid w:val="00882E9B"/>
    <w:rsid w:val="00882ED6"/>
    <w:rsid w:val="0088378E"/>
    <w:rsid w:val="00884836"/>
    <w:rsid w:val="00886CF0"/>
    <w:rsid w:val="00894BB5"/>
    <w:rsid w:val="00896A07"/>
    <w:rsid w:val="0089772F"/>
    <w:rsid w:val="008A51A7"/>
    <w:rsid w:val="008C0323"/>
    <w:rsid w:val="008C1A35"/>
    <w:rsid w:val="008C28A2"/>
    <w:rsid w:val="008C3427"/>
    <w:rsid w:val="008C4056"/>
    <w:rsid w:val="008C41EC"/>
    <w:rsid w:val="008C728A"/>
    <w:rsid w:val="008D00C6"/>
    <w:rsid w:val="008D2F11"/>
    <w:rsid w:val="008D335E"/>
    <w:rsid w:val="008D348C"/>
    <w:rsid w:val="008D4EDE"/>
    <w:rsid w:val="008D5638"/>
    <w:rsid w:val="008D5CEE"/>
    <w:rsid w:val="008D7960"/>
    <w:rsid w:val="008E0E71"/>
    <w:rsid w:val="008E1321"/>
    <w:rsid w:val="008E190A"/>
    <w:rsid w:val="008E222F"/>
    <w:rsid w:val="008E63EE"/>
    <w:rsid w:val="008E7177"/>
    <w:rsid w:val="008E71E0"/>
    <w:rsid w:val="008F0398"/>
    <w:rsid w:val="008F0EC0"/>
    <w:rsid w:val="008F444B"/>
    <w:rsid w:val="0090139A"/>
    <w:rsid w:val="00901A08"/>
    <w:rsid w:val="00907708"/>
    <w:rsid w:val="00907F19"/>
    <w:rsid w:val="00907F88"/>
    <w:rsid w:val="00912B58"/>
    <w:rsid w:val="00913763"/>
    <w:rsid w:val="009137A8"/>
    <w:rsid w:val="00913AD9"/>
    <w:rsid w:val="009203F3"/>
    <w:rsid w:val="00920B42"/>
    <w:rsid w:val="00921E04"/>
    <w:rsid w:val="00925195"/>
    <w:rsid w:val="00925912"/>
    <w:rsid w:val="0092744B"/>
    <w:rsid w:val="00930C98"/>
    <w:rsid w:val="009330C6"/>
    <w:rsid w:val="00933BE8"/>
    <w:rsid w:val="009455F5"/>
    <w:rsid w:val="009471C6"/>
    <w:rsid w:val="00947C9C"/>
    <w:rsid w:val="00954555"/>
    <w:rsid w:val="00954C44"/>
    <w:rsid w:val="00955BAE"/>
    <w:rsid w:val="00957812"/>
    <w:rsid w:val="009604F6"/>
    <w:rsid w:val="00960945"/>
    <w:rsid w:val="00962AC3"/>
    <w:rsid w:val="009630BC"/>
    <w:rsid w:val="00971F33"/>
    <w:rsid w:val="009742AD"/>
    <w:rsid w:val="009743F9"/>
    <w:rsid w:val="0097643A"/>
    <w:rsid w:val="00977813"/>
    <w:rsid w:val="009807D1"/>
    <w:rsid w:val="00981032"/>
    <w:rsid w:val="009812C6"/>
    <w:rsid w:val="009813F8"/>
    <w:rsid w:val="00986F4E"/>
    <w:rsid w:val="00987414"/>
    <w:rsid w:val="00990755"/>
    <w:rsid w:val="009908F4"/>
    <w:rsid w:val="0099247D"/>
    <w:rsid w:val="009931C5"/>
    <w:rsid w:val="00993532"/>
    <w:rsid w:val="00994020"/>
    <w:rsid w:val="0099657D"/>
    <w:rsid w:val="00997A10"/>
    <w:rsid w:val="00997CDA"/>
    <w:rsid w:val="009A18E6"/>
    <w:rsid w:val="009A1B7D"/>
    <w:rsid w:val="009A1E7A"/>
    <w:rsid w:val="009A49A1"/>
    <w:rsid w:val="009B1C77"/>
    <w:rsid w:val="009B446F"/>
    <w:rsid w:val="009B59C8"/>
    <w:rsid w:val="009C220C"/>
    <w:rsid w:val="009C4961"/>
    <w:rsid w:val="009C6FCE"/>
    <w:rsid w:val="009C7716"/>
    <w:rsid w:val="009C7915"/>
    <w:rsid w:val="009D6893"/>
    <w:rsid w:val="009E0468"/>
    <w:rsid w:val="009E1AFF"/>
    <w:rsid w:val="009E1D04"/>
    <w:rsid w:val="009E357E"/>
    <w:rsid w:val="009E78B0"/>
    <w:rsid w:val="009F3680"/>
    <w:rsid w:val="009F6346"/>
    <w:rsid w:val="009F6449"/>
    <w:rsid w:val="009F6623"/>
    <w:rsid w:val="009F6FD9"/>
    <w:rsid w:val="009F79E8"/>
    <w:rsid w:val="00A00E57"/>
    <w:rsid w:val="00A0108B"/>
    <w:rsid w:val="00A05849"/>
    <w:rsid w:val="00A1017B"/>
    <w:rsid w:val="00A1071D"/>
    <w:rsid w:val="00A17613"/>
    <w:rsid w:val="00A17AF6"/>
    <w:rsid w:val="00A20771"/>
    <w:rsid w:val="00A20D5F"/>
    <w:rsid w:val="00A21628"/>
    <w:rsid w:val="00A26462"/>
    <w:rsid w:val="00A2706B"/>
    <w:rsid w:val="00A30721"/>
    <w:rsid w:val="00A320AD"/>
    <w:rsid w:val="00A32C1E"/>
    <w:rsid w:val="00A33A46"/>
    <w:rsid w:val="00A33ABE"/>
    <w:rsid w:val="00A34D41"/>
    <w:rsid w:val="00A4067F"/>
    <w:rsid w:val="00A4082D"/>
    <w:rsid w:val="00A524C4"/>
    <w:rsid w:val="00A526CD"/>
    <w:rsid w:val="00A579A9"/>
    <w:rsid w:val="00A57AC7"/>
    <w:rsid w:val="00A605C9"/>
    <w:rsid w:val="00A624BB"/>
    <w:rsid w:val="00A713EF"/>
    <w:rsid w:val="00A747B8"/>
    <w:rsid w:val="00A75035"/>
    <w:rsid w:val="00A80F37"/>
    <w:rsid w:val="00A80F4D"/>
    <w:rsid w:val="00A82DF8"/>
    <w:rsid w:val="00A846EB"/>
    <w:rsid w:val="00A847E6"/>
    <w:rsid w:val="00A914A5"/>
    <w:rsid w:val="00A94294"/>
    <w:rsid w:val="00A96902"/>
    <w:rsid w:val="00A96C01"/>
    <w:rsid w:val="00AA0416"/>
    <w:rsid w:val="00AA073C"/>
    <w:rsid w:val="00AA4005"/>
    <w:rsid w:val="00AA5AEC"/>
    <w:rsid w:val="00AA6065"/>
    <w:rsid w:val="00AA6B3C"/>
    <w:rsid w:val="00AA7851"/>
    <w:rsid w:val="00AB05A1"/>
    <w:rsid w:val="00AB1ABA"/>
    <w:rsid w:val="00AB1C8F"/>
    <w:rsid w:val="00AB311D"/>
    <w:rsid w:val="00AB3907"/>
    <w:rsid w:val="00AB4A65"/>
    <w:rsid w:val="00AB4EF3"/>
    <w:rsid w:val="00AB72DF"/>
    <w:rsid w:val="00AC26DD"/>
    <w:rsid w:val="00AC31F3"/>
    <w:rsid w:val="00AC431E"/>
    <w:rsid w:val="00AC50DC"/>
    <w:rsid w:val="00AC613D"/>
    <w:rsid w:val="00AC6F28"/>
    <w:rsid w:val="00AC7043"/>
    <w:rsid w:val="00AC795E"/>
    <w:rsid w:val="00AD108E"/>
    <w:rsid w:val="00AD3CC3"/>
    <w:rsid w:val="00AD3CCD"/>
    <w:rsid w:val="00AD6215"/>
    <w:rsid w:val="00AD7AB8"/>
    <w:rsid w:val="00AD7C44"/>
    <w:rsid w:val="00AD7D43"/>
    <w:rsid w:val="00AD7E46"/>
    <w:rsid w:val="00AE0B47"/>
    <w:rsid w:val="00AE2D98"/>
    <w:rsid w:val="00AE3103"/>
    <w:rsid w:val="00AE522F"/>
    <w:rsid w:val="00AE671F"/>
    <w:rsid w:val="00AE6FF3"/>
    <w:rsid w:val="00AF1297"/>
    <w:rsid w:val="00AF1C08"/>
    <w:rsid w:val="00AF375F"/>
    <w:rsid w:val="00AF392D"/>
    <w:rsid w:val="00AF44FE"/>
    <w:rsid w:val="00AF5B9F"/>
    <w:rsid w:val="00B00D9F"/>
    <w:rsid w:val="00B035BE"/>
    <w:rsid w:val="00B04006"/>
    <w:rsid w:val="00B05E4A"/>
    <w:rsid w:val="00B061F2"/>
    <w:rsid w:val="00B10C12"/>
    <w:rsid w:val="00B113A4"/>
    <w:rsid w:val="00B12300"/>
    <w:rsid w:val="00B1786D"/>
    <w:rsid w:val="00B203BA"/>
    <w:rsid w:val="00B21E97"/>
    <w:rsid w:val="00B24312"/>
    <w:rsid w:val="00B24551"/>
    <w:rsid w:val="00B2582F"/>
    <w:rsid w:val="00B2598A"/>
    <w:rsid w:val="00B33C62"/>
    <w:rsid w:val="00B346C4"/>
    <w:rsid w:val="00B35658"/>
    <w:rsid w:val="00B361F6"/>
    <w:rsid w:val="00B373C0"/>
    <w:rsid w:val="00B45B14"/>
    <w:rsid w:val="00B50DEE"/>
    <w:rsid w:val="00B52A80"/>
    <w:rsid w:val="00B57D00"/>
    <w:rsid w:val="00B61E28"/>
    <w:rsid w:val="00B63B7A"/>
    <w:rsid w:val="00B67D8B"/>
    <w:rsid w:val="00B72A2B"/>
    <w:rsid w:val="00B73628"/>
    <w:rsid w:val="00B76BC4"/>
    <w:rsid w:val="00B8187D"/>
    <w:rsid w:val="00B81B0C"/>
    <w:rsid w:val="00B84274"/>
    <w:rsid w:val="00B842D8"/>
    <w:rsid w:val="00B864AF"/>
    <w:rsid w:val="00B86961"/>
    <w:rsid w:val="00B902AA"/>
    <w:rsid w:val="00B912D3"/>
    <w:rsid w:val="00B916BA"/>
    <w:rsid w:val="00BB127B"/>
    <w:rsid w:val="00BB3741"/>
    <w:rsid w:val="00BB3A9E"/>
    <w:rsid w:val="00BC149E"/>
    <w:rsid w:val="00BC378C"/>
    <w:rsid w:val="00BC4445"/>
    <w:rsid w:val="00BC668D"/>
    <w:rsid w:val="00BC7AD2"/>
    <w:rsid w:val="00BC7FA6"/>
    <w:rsid w:val="00BD1FB9"/>
    <w:rsid w:val="00BD236F"/>
    <w:rsid w:val="00BD4E2A"/>
    <w:rsid w:val="00BD5539"/>
    <w:rsid w:val="00BD6059"/>
    <w:rsid w:val="00BD7F47"/>
    <w:rsid w:val="00BE07BA"/>
    <w:rsid w:val="00BE0D6D"/>
    <w:rsid w:val="00BE28A8"/>
    <w:rsid w:val="00BF02ED"/>
    <w:rsid w:val="00BF1F53"/>
    <w:rsid w:val="00BF3F34"/>
    <w:rsid w:val="00BF482B"/>
    <w:rsid w:val="00BF584E"/>
    <w:rsid w:val="00BF679D"/>
    <w:rsid w:val="00C012B9"/>
    <w:rsid w:val="00C018C3"/>
    <w:rsid w:val="00C02AB6"/>
    <w:rsid w:val="00C030C7"/>
    <w:rsid w:val="00C060A2"/>
    <w:rsid w:val="00C068E2"/>
    <w:rsid w:val="00C12218"/>
    <w:rsid w:val="00C1292A"/>
    <w:rsid w:val="00C14199"/>
    <w:rsid w:val="00C14F7A"/>
    <w:rsid w:val="00C24456"/>
    <w:rsid w:val="00C272B5"/>
    <w:rsid w:val="00C27EFF"/>
    <w:rsid w:val="00C27FED"/>
    <w:rsid w:val="00C3667E"/>
    <w:rsid w:val="00C3798C"/>
    <w:rsid w:val="00C40FF3"/>
    <w:rsid w:val="00C419B6"/>
    <w:rsid w:val="00C44616"/>
    <w:rsid w:val="00C4569D"/>
    <w:rsid w:val="00C46F0B"/>
    <w:rsid w:val="00C46FCD"/>
    <w:rsid w:val="00C47C5E"/>
    <w:rsid w:val="00C5237B"/>
    <w:rsid w:val="00C54C95"/>
    <w:rsid w:val="00C5524E"/>
    <w:rsid w:val="00C55C1B"/>
    <w:rsid w:val="00C63188"/>
    <w:rsid w:val="00C637D7"/>
    <w:rsid w:val="00C66B23"/>
    <w:rsid w:val="00C7032A"/>
    <w:rsid w:val="00C70A1B"/>
    <w:rsid w:val="00C73198"/>
    <w:rsid w:val="00C823A0"/>
    <w:rsid w:val="00C826CC"/>
    <w:rsid w:val="00C82B78"/>
    <w:rsid w:val="00C83407"/>
    <w:rsid w:val="00C83E55"/>
    <w:rsid w:val="00C8418D"/>
    <w:rsid w:val="00C8422C"/>
    <w:rsid w:val="00C84E27"/>
    <w:rsid w:val="00C863F7"/>
    <w:rsid w:val="00C87AB7"/>
    <w:rsid w:val="00C91F95"/>
    <w:rsid w:val="00C9208A"/>
    <w:rsid w:val="00C9389F"/>
    <w:rsid w:val="00C9579B"/>
    <w:rsid w:val="00C9765C"/>
    <w:rsid w:val="00CA26ED"/>
    <w:rsid w:val="00CA28BF"/>
    <w:rsid w:val="00CA4B9D"/>
    <w:rsid w:val="00CB1E89"/>
    <w:rsid w:val="00CB403E"/>
    <w:rsid w:val="00CC08A3"/>
    <w:rsid w:val="00CC1B15"/>
    <w:rsid w:val="00CC450F"/>
    <w:rsid w:val="00CC73AE"/>
    <w:rsid w:val="00CD1E97"/>
    <w:rsid w:val="00CD33AE"/>
    <w:rsid w:val="00CD3977"/>
    <w:rsid w:val="00CD583F"/>
    <w:rsid w:val="00CD6923"/>
    <w:rsid w:val="00CD7550"/>
    <w:rsid w:val="00CE2E3B"/>
    <w:rsid w:val="00CE59F2"/>
    <w:rsid w:val="00CE5E60"/>
    <w:rsid w:val="00CF1FC9"/>
    <w:rsid w:val="00CF2DF9"/>
    <w:rsid w:val="00CF41D4"/>
    <w:rsid w:val="00CF69E0"/>
    <w:rsid w:val="00CF797E"/>
    <w:rsid w:val="00D00F81"/>
    <w:rsid w:val="00D01024"/>
    <w:rsid w:val="00D0309C"/>
    <w:rsid w:val="00D052B9"/>
    <w:rsid w:val="00D12ABA"/>
    <w:rsid w:val="00D12B22"/>
    <w:rsid w:val="00D12F8F"/>
    <w:rsid w:val="00D136DA"/>
    <w:rsid w:val="00D1599B"/>
    <w:rsid w:val="00D20801"/>
    <w:rsid w:val="00D21084"/>
    <w:rsid w:val="00D217D7"/>
    <w:rsid w:val="00D225E8"/>
    <w:rsid w:val="00D2267A"/>
    <w:rsid w:val="00D26C1F"/>
    <w:rsid w:val="00D31E60"/>
    <w:rsid w:val="00D32B0E"/>
    <w:rsid w:val="00D34599"/>
    <w:rsid w:val="00D346BF"/>
    <w:rsid w:val="00D34911"/>
    <w:rsid w:val="00D350C2"/>
    <w:rsid w:val="00D37DB9"/>
    <w:rsid w:val="00D456A0"/>
    <w:rsid w:val="00D47EF4"/>
    <w:rsid w:val="00D53476"/>
    <w:rsid w:val="00D53CD0"/>
    <w:rsid w:val="00D53ECB"/>
    <w:rsid w:val="00D558F5"/>
    <w:rsid w:val="00D5700B"/>
    <w:rsid w:val="00D57F81"/>
    <w:rsid w:val="00D6100D"/>
    <w:rsid w:val="00D611D5"/>
    <w:rsid w:val="00D63784"/>
    <w:rsid w:val="00D669C4"/>
    <w:rsid w:val="00D732CC"/>
    <w:rsid w:val="00D733F8"/>
    <w:rsid w:val="00D76141"/>
    <w:rsid w:val="00D76FC9"/>
    <w:rsid w:val="00D80C5F"/>
    <w:rsid w:val="00D80E05"/>
    <w:rsid w:val="00D82B00"/>
    <w:rsid w:val="00D82C4B"/>
    <w:rsid w:val="00D85B46"/>
    <w:rsid w:val="00D87FBF"/>
    <w:rsid w:val="00D939C0"/>
    <w:rsid w:val="00D947E3"/>
    <w:rsid w:val="00D97634"/>
    <w:rsid w:val="00D97ECF"/>
    <w:rsid w:val="00DB2FF7"/>
    <w:rsid w:val="00DB426F"/>
    <w:rsid w:val="00DB7075"/>
    <w:rsid w:val="00DB7078"/>
    <w:rsid w:val="00DC211E"/>
    <w:rsid w:val="00DC29D1"/>
    <w:rsid w:val="00DC6F00"/>
    <w:rsid w:val="00DD19F3"/>
    <w:rsid w:val="00DD2E7E"/>
    <w:rsid w:val="00DE380D"/>
    <w:rsid w:val="00DE4745"/>
    <w:rsid w:val="00DE4C2A"/>
    <w:rsid w:val="00DE4DC6"/>
    <w:rsid w:val="00DE50F3"/>
    <w:rsid w:val="00DE7113"/>
    <w:rsid w:val="00DF0860"/>
    <w:rsid w:val="00DF448E"/>
    <w:rsid w:val="00DF7740"/>
    <w:rsid w:val="00DF78E5"/>
    <w:rsid w:val="00DF7C8F"/>
    <w:rsid w:val="00E006C5"/>
    <w:rsid w:val="00E04419"/>
    <w:rsid w:val="00E04A37"/>
    <w:rsid w:val="00E06B5B"/>
    <w:rsid w:val="00E06D99"/>
    <w:rsid w:val="00E0724A"/>
    <w:rsid w:val="00E1262E"/>
    <w:rsid w:val="00E127DB"/>
    <w:rsid w:val="00E12F2C"/>
    <w:rsid w:val="00E21CE5"/>
    <w:rsid w:val="00E25388"/>
    <w:rsid w:val="00E25D8D"/>
    <w:rsid w:val="00E25DD6"/>
    <w:rsid w:val="00E25DF3"/>
    <w:rsid w:val="00E26CFC"/>
    <w:rsid w:val="00E26DD1"/>
    <w:rsid w:val="00E3020D"/>
    <w:rsid w:val="00E33B9D"/>
    <w:rsid w:val="00E35DC6"/>
    <w:rsid w:val="00E3701A"/>
    <w:rsid w:val="00E43972"/>
    <w:rsid w:val="00E460E0"/>
    <w:rsid w:val="00E52A32"/>
    <w:rsid w:val="00E52DB3"/>
    <w:rsid w:val="00E53965"/>
    <w:rsid w:val="00E55E09"/>
    <w:rsid w:val="00E57A0B"/>
    <w:rsid w:val="00E64CA1"/>
    <w:rsid w:val="00E65E9D"/>
    <w:rsid w:val="00E707B2"/>
    <w:rsid w:val="00E72EE6"/>
    <w:rsid w:val="00E72F93"/>
    <w:rsid w:val="00E731C8"/>
    <w:rsid w:val="00E74805"/>
    <w:rsid w:val="00E80D35"/>
    <w:rsid w:val="00E83A30"/>
    <w:rsid w:val="00E84E46"/>
    <w:rsid w:val="00E85D79"/>
    <w:rsid w:val="00E86CC6"/>
    <w:rsid w:val="00E90C14"/>
    <w:rsid w:val="00E94F5B"/>
    <w:rsid w:val="00E97207"/>
    <w:rsid w:val="00EA4224"/>
    <w:rsid w:val="00EA4712"/>
    <w:rsid w:val="00EA49A8"/>
    <w:rsid w:val="00EA4A4D"/>
    <w:rsid w:val="00EA4F34"/>
    <w:rsid w:val="00EB3FC5"/>
    <w:rsid w:val="00EB4010"/>
    <w:rsid w:val="00EB66C4"/>
    <w:rsid w:val="00EC1ACC"/>
    <w:rsid w:val="00EC1D35"/>
    <w:rsid w:val="00EC6730"/>
    <w:rsid w:val="00EC7EED"/>
    <w:rsid w:val="00ED2E03"/>
    <w:rsid w:val="00ED4172"/>
    <w:rsid w:val="00ED52C3"/>
    <w:rsid w:val="00EE0985"/>
    <w:rsid w:val="00EE15D3"/>
    <w:rsid w:val="00EE3277"/>
    <w:rsid w:val="00EE6673"/>
    <w:rsid w:val="00EF018B"/>
    <w:rsid w:val="00EF0B05"/>
    <w:rsid w:val="00EF4FCC"/>
    <w:rsid w:val="00EF542E"/>
    <w:rsid w:val="00F07D5A"/>
    <w:rsid w:val="00F15357"/>
    <w:rsid w:val="00F15853"/>
    <w:rsid w:val="00F175D0"/>
    <w:rsid w:val="00F233B0"/>
    <w:rsid w:val="00F2411E"/>
    <w:rsid w:val="00F24529"/>
    <w:rsid w:val="00F254BE"/>
    <w:rsid w:val="00F254FD"/>
    <w:rsid w:val="00F259F1"/>
    <w:rsid w:val="00F3054F"/>
    <w:rsid w:val="00F31144"/>
    <w:rsid w:val="00F34B65"/>
    <w:rsid w:val="00F35D53"/>
    <w:rsid w:val="00F41101"/>
    <w:rsid w:val="00F47AE8"/>
    <w:rsid w:val="00F5227F"/>
    <w:rsid w:val="00F56E14"/>
    <w:rsid w:val="00F57F4B"/>
    <w:rsid w:val="00F619BE"/>
    <w:rsid w:val="00F62F53"/>
    <w:rsid w:val="00F6636F"/>
    <w:rsid w:val="00F66D55"/>
    <w:rsid w:val="00F7355A"/>
    <w:rsid w:val="00F8079E"/>
    <w:rsid w:val="00F8122B"/>
    <w:rsid w:val="00F818D7"/>
    <w:rsid w:val="00F81C8F"/>
    <w:rsid w:val="00F84B79"/>
    <w:rsid w:val="00F863DF"/>
    <w:rsid w:val="00F86A44"/>
    <w:rsid w:val="00F91296"/>
    <w:rsid w:val="00F96FEE"/>
    <w:rsid w:val="00FA0035"/>
    <w:rsid w:val="00FA1C95"/>
    <w:rsid w:val="00FA455C"/>
    <w:rsid w:val="00FB0823"/>
    <w:rsid w:val="00FB5A8D"/>
    <w:rsid w:val="00FB67CD"/>
    <w:rsid w:val="00FB707F"/>
    <w:rsid w:val="00FB71F6"/>
    <w:rsid w:val="00FC0F4B"/>
    <w:rsid w:val="00FC1261"/>
    <w:rsid w:val="00FC30F8"/>
    <w:rsid w:val="00FC35E9"/>
    <w:rsid w:val="00FC38FA"/>
    <w:rsid w:val="00FC3D14"/>
    <w:rsid w:val="00FC4FF1"/>
    <w:rsid w:val="00FC5FDA"/>
    <w:rsid w:val="00FC7F22"/>
    <w:rsid w:val="00FD452F"/>
    <w:rsid w:val="00FF1F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C95F"/>
  <w15:docId w15:val="{161BDC27-D67E-4516-B811-0777154E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96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Prrafodelista">
    <w:name w:val="List Paragraph"/>
    <w:basedOn w:val="Normal"/>
    <w:uiPriority w:val="34"/>
    <w:qFormat/>
    <w:rsid w:val="005230C9"/>
    <w:pPr>
      <w:ind w:left="720"/>
      <w:contextualSpacing/>
    </w:pPr>
  </w:style>
  <w:style w:type="character" w:customStyle="1" w:styleId="fontstyle01">
    <w:name w:val="fontstyle01"/>
    <w:basedOn w:val="Fuentedeprrafopredeter"/>
    <w:rsid w:val="00BA62FC"/>
    <w:rPr>
      <w:rFonts w:ascii="Palatino-Roman" w:hAnsi="Palatino-Roman" w:hint="default"/>
      <w:b w:val="0"/>
      <w:bCs w:val="0"/>
      <w:i w:val="0"/>
      <w:iCs w:val="0"/>
      <w:color w:val="231F20"/>
      <w:sz w:val="22"/>
      <w:szCs w:val="22"/>
    </w:rPr>
  </w:style>
  <w:style w:type="paragraph" w:styleId="Sinespaciado">
    <w:name w:val="No Spacing"/>
    <w:uiPriority w:val="1"/>
    <w:qFormat/>
    <w:rsid w:val="007E6FE0"/>
    <w:pPr>
      <w:spacing w:after="0" w:line="240" w:lineRule="auto"/>
    </w:pPr>
  </w:style>
  <w:style w:type="character" w:styleId="Hipervnculo">
    <w:name w:val="Hyperlink"/>
    <w:basedOn w:val="Fuentedeprrafopredeter"/>
    <w:uiPriority w:val="99"/>
    <w:unhideWhenUsed/>
    <w:rsid w:val="00406E5B"/>
    <w:rPr>
      <w:color w:val="0000FF"/>
      <w:u w:val="single"/>
    </w:rPr>
  </w:style>
  <w:style w:type="table" w:styleId="Tablaconcuadrcula">
    <w:name w:val="Table Grid"/>
    <w:basedOn w:val="Tablanormal"/>
    <w:uiPriority w:val="39"/>
    <w:rsid w:val="005F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b"/>
    <w:pPr>
      <w:spacing w:after="0" w:line="240" w:lineRule="auto"/>
    </w:pPr>
    <w:tblPr>
      <w:tblStyleRowBandSize w:val="1"/>
      <w:tblStyleColBandSize w:val="1"/>
      <w:tblCellMar>
        <w:left w:w="108" w:type="dxa"/>
        <w:right w:w="108" w:type="dxa"/>
      </w:tblCellMar>
    </w:tblPr>
  </w:style>
  <w:style w:type="table" w:customStyle="1" w:styleId="a0">
    <w:basedOn w:val="TableNormalb"/>
    <w:pPr>
      <w:spacing w:after="0" w:line="240" w:lineRule="auto"/>
    </w:pPr>
    <w:tblPr>
      <w:tblStyleRowBandSize w:val="1"/>
      <w:tblStyleColBandSize w:val="1"/>
      <w:tblCellMar>
        <w:left w:w="108" w:type="dxa"/>
        <w:right w:w="108" w:type="dxa"/>
      </w:tblCellMar>
    </w:tblPr>
  </w:style>
  <w:style w:type="table" w:customStyle="1" w:styleId="a1">
    <w:basedOn w:val="TableNormalb"/>
    <w:pPr>
      <w:spacing w:after="0" w:line="240" w:lineRule="auto"/>
    </w:pPr>
    <w:tblPr>
      <w:tblStyleRowBandSize w:val="1"/>
      <w:tblStyleColBandSize w:val="1"/>
      <w:tblCellMar>
        <w:left w:w="108" w:type="dxa"/>
        <w:right w:w="108" w:type="dxa"/>
      </w:tblCellMar>
    </w:tblPr>
  </w:style>
  <w:style w:type="table" w:customStyle="1" w:styleId="a2">
    <w:basedOn w:val="TableNormalb"/>
    <w:pPr>
      <w:spacing w:after="0" w:line="240" w:lineRule="auto"/>
    </w:pPr>
    <w:tblPr>
      <w:tblStyleRowBandSize w:val="1"/>
      <w:tblStyleColBandSize w:val="1"/>
      <w:tblCellMar>
        <w:left w:w="108" w:type="dxa"/>
        <w:right w:w="108" w:type="dxa"/>
      </w:tblCellMar>
    </w:tblPr>
  </w:style>
  <w:style w:type="table" w:customStyle="1" w:styleId="a3">
    <w:basedOn w:val="TableNormala"/>
    <w:pPr>
      <w:spacing w:after="0" w:line="240" w:lineRule="auto"/>
    </w:pPr>
    <w:tblPr>
      <w:tblStyleRowBandSize w:val="1"/>
      <w:tblStyleColBandSize w:val="1"/>
      <w:tblCellMar>
        <w:left w:w="108" w:type="dxa"/>
        <w:right w:w="108" w:type="dxa"/>
      </w:tblCellMar>
    </w:tblPr>
  </w:style>
  <w:style w:type="table" w:customStyle="1" w:styleId="a4">
    <w:basedOn w:val="TableNormala"/>
    <w:pPr>
      <w:spacing w:after="0" w:line="240" w:lineRule="auto"/>
    </w:pPr>
    <w:tblPr>
      <w:tblStyleRowBandSize w:val="1"/>
      <w:tblStyleColBandSize w:val="1"/>
      <w:tblCellMar>
        <w:left w:w="108" w:type="dxa"/>
        <w:right w:w="108" w:type="dxa"/>
      </w:tblCellMar>
    </w:tblPr>
  </w:style>
  <w:style w:type="table" w:customStyle="1" w:styleId="a5">
    <w:basedOn w:val="TableNormal9"/>
    <w:pPr>
      <w:spacing w:after="0" w:line="240" w:lineRule="auto"/>
    </w:pPr>
    <w:tblPr>
      <w:tblStyleRowBandSize w:val="1"/>
      <w:tblStyleColBandSize w:val="1"/>
      <w:tblCellMar>
        <w:left w:w="108" w:type="dxa"/>
        <w:right w:w="108" w:type="dxa"/>
      </w:tblCellMar>
    </w:tblPr>
  </w:style>
  <w:style w:type="table" w:customStyle="1" w:styleId="a6">
    <w:basedOn w:val="TableNormal9"/>
    <w:pPr>
      <w:spacing w:after="0" w:line="240" w:lineRule="auto"/>
    </w:pPr>
    <w:tblPr>
      <w:tblStyleRowBandSize w:val="1"/>
      <w:tblStyleColBandSize w:val="1"/>
      <w:tblCellMar>
        <w:left w:w="108" w:type="dxa"/>
        <w:right w:w="108" w:type="dxa"/>
      </w:tblCellMar>
    </w:tblPr>
  </w:style>
  <w:style w:type="table" w:customStyle="1" w:styleId="a7">
    <w:basedOn w:val="TableNormal8"/>
    <w:pPr>
      <w:spacing w:after="0" w:line="240" w:lineRule="auto"/>
    </w:pPr>
    <w:tblPr>
      <w:tblStyleRowBandSize w:val="1"/>
      <w:tblStyleColBandSize w:val="1"/>
      <w:tblCellMar>
        <w:left w:w="108" w:type="dxa"/>
        <w:right w:w="108" w:type="dxa"/>
      </w:tblCellMar>
    </w:tblPr>
  </w:style>
  <w:style w:type="table" w:customStyle="1" w:styleId="a8">
    <w:basedOn w:val="TableNormal8"/>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3A4F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FAF"/>
    <w:rPr>
      <w:rFonts w:ascii="Segoe UI" w:hAnsi="Segoe UI" w:cs="Segoe UI"/>
      <w:sz w:val="18"/>
      <w:szCs w:val="18"/>
    </w:rPr>
  </w:style>
  <w:style w:type="paragraph" w:styleId="Encabezado">
    <w:name w:val="header"/>
    <w:basedOn w:val="Normal"/>
    <w:link w:val="EncabezadoCar"/>
    <w:uiPriority w:val="99"/>
    <w:unhideWhenUsed/>
    <w:rsid w:val="00641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A88"/>
  </w:style>
  <w:style w:type="paragraph" w:styleId="Piedepgina">
    <w:name w:val="footer"/>
    <w:basedOn w:val="Normal"/>
    <w:link w:val="PiedepginaCar"/>
    <w:uiPriority w:val="99"/>
    <w:unhideWhenUsed/>
    <w:rsid w:val="00641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A88"/>
  </w:style>
  <w:style w:type="table" w:customStyle="1" w:styleId="a9">
    <w:basedOn w:val="TableNormal7"/>
    <w:pPr>
      <w:spacing w:after="0" w:line="240" w:lineRule="auto"/>
    </w:pPr>
    <w:tblPr>
      <w:tblStyleRowBandSize w:val="1"/>
      <w:tblStyleColBandSize w:val="1"/>
      <w:tblCellMar>
        <w:left w:w="108" w:type="dxa"/>
        <w:right w:w="108" w:type="dxa"/>
      </w:tblCellMar>
    </w:tblPr>
  </w:style>
  <w:style w:type="table" w:customStyle="1" w:styleId="aa">
    <w:basedOn w:val="TableNormal7"/>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A064B2"/>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Textonotapie">
    <w:name w:val="footnote text"/>
    <w:basedOn w:val="Normal"/>
    <w:link w:val="TextonotapieCar"/>
    <w:uiPriority w:val="99"/>
    <w:semiHidden/>
    <w:unhideWhenUsed/>
    <w:rsid w:val="00D147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47BE"/>
    <w:rPr>
      <w:sz w:val="20"/>
      <w:szCs w:val="20"/>
    </w:rPr>
  </w:style>
  <w:style w:type="character" w:styleId="Refdenotaalpie">
    <w:name w:val="footnote reference"/>
    <w:basedOn w:val="Fuentedeprrafopredeter"/>
    <w:uiPriority w:val="99"/>
    <w:semiHidden/>
    <w:unhideWhenUsed/>
    <w:rsid w:val="00D147BE"/>
    <w:rPr>
      <w:vertAlign w:val="superscript"/>
    </w:rPr>
  </w:style>
  <w:style w:type="table" w:customStyle="1" w:styleId="ab">
    <w:basedOn w:val="TableNormal6"/>
    <w:pPr>
      <w:spacing w:after="0" w:line="240" w:lineRule="auto"/>
    </w:pPr>
    <w:tblPr>
      <w:tblStyleRowBandSize w:val="1"/>
      <w:tblStyleColBandSize w:val="1"/>
      <w:tblCellMar>
        <w:left w:w="108" w:type="dxa"/>
        <w:right w:w="108"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5"/>
    <w:pPr>
      <w:spacing w:after="0" w:line="240" w:lineRule="auto"/>
    </w:pPr>
    <w:tblPr>
      <w:tblStyleRowBandSize w:val="1"/>
      <w:tblStyleColBandSize w:val="1"/>
      <w:tblCellMar>
        <w:left w:w="115" w:type="dxa"/>
        <w:right w:w="115" w:type="dxa"/>
      </w:tblCellMar>
    </w:tblPr>
  </w:style>
  <w:style w:type="table" w:customStyle="1" w:styleId="ae">
    <w:basedOn w:val="TableNormal5"/>
    <w:pPr>
      <w:spacing w:after="0" w:line="240" w:lineRule="auto"/>
    </w:p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234735"/>
    <w:rPr>
      <w:color w:val="605E5C"/>
      <w:shd w:val="clear" w:color="auto" w:fill="E1DFDD"/>
    </w:rPr>
  </w:style>
  <w:style w:type="table" w:customStyle="1" w:styleId="af">
    <w:basedOn w:val="TableNormal4"/>
    <w:pPr>
      <w:spacing w:after="0" w:line="240" w:lineRule="auto"/>
    </w:pPr>
    <w:tblPr>
      <w:tblStyleRowBandSize w:val="1"/>
      <w:tblStyleColBandSize w:val="1"/>
      <w:tblCellMar>
        <w:left w:w="115" w:type="dxa"/>
        <w:right w:w="115" w:type="dxa"/>
      </w:tblCellMar>
    </w:tblPr>
  </w:style>
  <w:style w:type="table" w:customStyle="1" w:styleId="af0">
    <w:basedOn w:val="TableNormal4"/>
    <w:pPr>
      <w:spacing w:after="0" w:line="240" w:lineRule="auto"/>
    </w:pPr>
    <w:tblPr>
      <w:tblStyleRowBandSize w:val="1"/>
      <w:tblStyleColBandSize w:val="1"/>
      <w:tblCellMar>
        <w:left w:w="115" w:type="dxa"/>
        <w:right w:w="115" w:type="dxa"/>
      </w:tblCellMar>
    </w:tblPr>
  </w:style>
  <w:style w:type="table" w:customStyle="1" w:styleId="af1">
    <w:basedOn w:val="TableNormal3"/>
    <w:pPr>
      <w:spacing w:after="0" w:line="240" w:lineRule="auto"/>
    </w:pPr>
    <w:tblPr>
      <w:tblStyleRowBandSize w:val="1"/>
      <w:tblStyleColBandSize w:val="1"/>
      <w:tblCellMar>
        <w:left w:w="115" w:type="dxa"/>
        <w:right w:w="115" w:type="dxa"/>
      </w:tblCellMar>
    </w:tblPr>
  </w:style>
  <w:style w:type="table" w:customStyle="1" w:styleId="af2">
    <w:basedOn w:val="TableNormal3"/>
    <w:pPr>
      <w:spacing w:after="0" w:line="240" w:lineRule="auto"/>
    </w:pPr>
    <w:tblPr>
      <w:tblStyleRowBandSize w:val="1"/>
      <w:tblStyleColBandSize w:val="1"/>
      <w:tblCellMar>
        <w:left w:w="108" w:type="dxa"/>
        <w:right w:w="108" w:type="dxa"/>
      </w:tblCellMar>
    </w:tblPr>
  </w:style>
  <w:style w:type="table" w:customStyle="1" w:styleId="af3">
    <w:basedOn w:val="TableNormal3"/>
    <w:pPr>
      <w:spacing w:after="0" w:line="240" w:lineRule="auto"/>
    </w:pPr>
    <w:tblPr>
      <w:tblStyleRowBandSize w:val="1"/>
      <w:tblStyleColBandSize w:val="1"/>
      <w:tblCellMar>
        <w:left w:w="115" w:type="dxa"/>
        <w:right w:w="115" w:type="dxa"/>
      </w:tblCellMar>
    </w:tblPr>
  </w:style>
  <w:style w:type="table" w:customStyle="1" w:styleId="af4">
    <w:basedOn w:val="TableNormal2"/>
    <w:pPr>
      <w:spacing w:after="0" w:line="240" w:lineRule="auto"/>
    </w:pPr>
    <w:tblPr>
      <w:tblStyleRowBandSize w:val="1"/>
      <w:tblStyleColBandSize w:val="1"/>
      <w:tblCellMar>
        <w:left w:w="115" w:type="dxa"/>
        <w:right w:w="115" w:type="dxa"/>
      </w:tblCellMar>
    </w:tblPr>
  </w:style>
  <w:style w:type="table" w:customStyle="1" w:styleId="af5">
    <w:basedOn w:val="TableNormal2"/>
    <w:pPr>
      <w:spacing w:after="0" w:line="240" w:lineRule="auto"/>
    </w:pPr>
    <w:tblPr>
      <w:tblStyleRowBandSize w:val="1"/>
      <w:tblStyleColBandSize w:val="1"/>
      <w:tblCellMar>
        <w:left w:w="115" w:type="dxa"/>
        <w:right w:w="115"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table" w:customStyle="1" w:styleId="af9">
    <w:basedOn w:val="TableNormal1"/>
    <w:pPr>
      <w:spacing w:after="0" w:line="240" w:lineRule="auto"/>
    </w:pPr>
    <w:tblPr>
      <w:tblStyleRowBandSize w:val="1"/>
      <w:tblStyleColBandSize w:val="1"/>
      <w:tblCellMar>
        <w:left w:w="108" w:type="dxa"/>
        <w:right w:w="108"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pPr>
      <w:spacing w:after="0" w:line="240" w:lineRule="auto"/>
    </w:pPr>
    <w:tblPr>
      <w:tblStyleRowBandSize w:val="1"/>
      <w:tblStyleColBandSize w:val="1"/>
      <w:tblCellMar>
        <w:left w:w="108" w:type="dxa"/>
        <w:right w:w="108" w:type="dxa"/>
      </w:tblCellMar>
    </w:tbl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tblPr>
      <w:tblStyleRowBandSize w:val="1"/>
      <w:tblStyleColBandSize w:val="1"/>
      <w:tblCellMar>
        <w:left w:w="108" w:type="dxa"/>
        <w:right w:w="108" w:type="dxa"/>
      </w:tblCellMar>
    </w:tblPr>
  </w:style>
  <w:style w:type="table" w:customStyle="1" w:styleId="aff5">
    <w:basedOn w:val="TableNormal0"/>
    <w:pPr>
      <w:spacing w:after="0" w:line="240" w:lineRule="auto"/>
    </w:pPr>
    <w:tblPr>
      <w:tblStyleRowBandSize w:val="1"/>
      <w:tblStyleColBandSize w:val="1"/>
      <w:tblCellMar>
        <w:left w:w="108" w:type="dxa"/>
        <w:right w:w="108"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left w:w="108" w:type="dxa"/>
        <w:right w:w="108" w:type="dxa"/>
      </w:tblCellMar>
    </w:tblPr>
  </w:style>
  <w:style w:type="table" w:customStyle="1" w:styleId="aff8">
    <w:basedOn w:val="TableNormal0"/>
    <w:pPr>
      <w:spacing w:after="0" w:line="240" w:lineRule="auto"/>
    </w:pPr>
    <w:tblPr>
      <w:tblStyleRowBandSize w:val="1"/>
      <w:tblStyleColBandSize w:val="1"/>
      <w:tblCellMar>
        <w:left w:w="108" w:type="dxa"/>
        <w:right w:w="108" w:type="dxa"/>
      </w:tblCellMar>
    </w:tblPr>
  </w:style>
  <w:style w:type="table" w:customStyle="1" w:styleId="aff9">
    <w:basedOn w:val="TableNormal0"/>
    <w:pPr>
      <w:spacing w:after="0" w:line="240" w:lineRule="auto"/>
    </w:pPr>
    <w:tblPr>
      <w:tblStyleRowBandSize w:val="1"/>
      <w:tblStyleColBandSize w:val="1"/>
      <w:tblCellMar>
        <w:left w:w="108" w:type="dxa"/>
        <w:right w:w="108" w:type="dxa"/>
      </w:tblCellMar>
    </w:tbl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pPr>
      <w:spacing w:after="0" w:line="240" w:lineRule="auto"/>
    </w:pPr>
    <w:tblPr>
      <w:tblStyleRowBandSize w:val="1"/>
      <w:tblStyleColBandSize w:val="1"/>
      <w:tblCellMar>
        <w:left w:w="108" w:type="dxa"/>
        <w:right w:w="108" w:type="dxa"/>
      </w:tblCellMar>
    </w:tblPr>
  </w:style>
  <w:style w:type="table" w:customStyle="1" w:styleId="affc">
    <w:basedOn w:val="TableNormal0"/>
    <w:pPr>
      <w:spacing w:after="0"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374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547229">
      <w:bodyDiv w:val="1"/>
      <w:marLeft w:val="0"/>
      <w:marRight w:val="0"/>
      <w:marTop w:val="0"/>
      <w:marBottom w:val="0"/>
      <w:divBdr>
        <w:top w:val="none" w:sz="0" w:space="0" w:color="auto"/>
        <w:left w:val="none" w:sz="0" w:space="0" w:color="auto"/>
        <w:bottom w:val="none" w:sz="0" w:space="0" w:color="auto"/>
        <w:right w:val="none" w:sz="0" w:space="0" w:color="auto"/>
      </w:divBdr>
    </w:div>
    <w:div w:id="134659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alvarez@historia.ucsc.cl"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D7D758-19C2-4B72-8A91-8202423F261E}"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s-CL"/>
        </a:p>
      </dgm:t>
    </dgm:pt>
    <dgm:pt modelId="{DE49EF24-6E4D-4F91-AE5A-2F3D8A475040}">
      <dgm:prSet phldrT="[Texto]" custT="1"/>
      <dgm:spPr>
        <a:xfrm>
          <a:off x="659836" y="1423"/>
          <a:ext cx="2989818" cy="232909"/>
        </a:xfrm>
        <a:prstGeom prst="roundRect">
          <a:avLst>
            <a:gd name="adj" fmla="val 10000"/>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s-CL" sz="900" b="1">
              <a:solidFill>
                <a:sysClr val="windowText" lastClr="000000"/>
              </a:solidFill>
              <a:latin typeface="Arial Narrow" panose="020B0606020202030204" pitchFamily="34" charset="0"/>
              <a:ea typeface="+mn-ea"/>
              <a:cs typeface="+mn-cs"/>
            </a:rPr>
            <a:t>Categoría: </a:t>
          </a:r>
          <a:r>
            <a:rPr lang="es-CL" sz="900">
              <a:solidFill>
                <a:sysClr val="windowText" lastClr="000000"/>
              </a:solidFill>
              <a:latin typeface="Arial Narrow" panose="020B0606020202030204" pitchFamily="34" charset="0"/>
              <a:ea typeface="+mn-ea"/>
              <a:cs typeface="+mn-cs"/>
            </a:rPr>
            <a:t>Androcentrismo</a:t>
          </a:r>
        </a:p>
      </dgm:t>
    </dgm:pt>
    <dgm:pt modelId="{FBCDF0C8-BE1E-41CC-9583-F92F61792450}" type="parTrans" cxnId="{1D4F0133-126B-4292-8933-06A4403C5CB7}">
      <dgm:prSet/>
      <dgm:spPr/>
      <dgm:t>
        <a:bodyPr/>
        <a:lstStyle/>
        <a:p>
          <a:endParaRPr lang="es-CL"/>
        </a:p>
      </dgm:t>
    </dgm:pt>
    <dgm:pt modelId="{9E4A7D69-D27C-48A9-9CCF-E2914AF954D3}" type="sibTrans" cxnId="{1D4F0133-126B-4292-8933-06A4403C5CB7}">
      <dgm:prSet/>
      <dgm:spPr>
        <a:xfrm rot="5400000">
          <a:off x="2111075" y="240154"/>
          <a:ext cx="87340" cy="10480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s-CL">
            <a:solidFill>
              <a:sysClr val="window" lastClr="FFFFFF"/>
            </a:solidFill>
            <a:latin typeface="Calibri" panose="020F0502020204030204"/>
            <a:ea typeface="+mn-ea"/>
            <a:cs typeface="+mn-cs"/>
          </a:endParaRPr>
        </a:p>
      </dgm:t>
    </dgm:pt>
    <dgm:pt modelId="{C2355BFD-4EDA-47F0-A358-9C3C2FBBB578}">
      <dgm:prSet phldrT="[Texto]" custT="1"/>
      <dgm:spPr>
        <a:xfrm>
          <a:off x="695756" y="1748241"/>
          <a:ext cx="2917979"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L" sz="900" b="1">
              <a:solidFill>
                <a:sysClr val="windowText" lastClr="000000"/>
              </a:solidFill>
              <a:latin typeface="Arial Narrow" panose="020B0606020202030204" pitchFamily="34" charset="0"/>
              <a:ea typeface="+mn-ea"/>
              <a:cs typeface="+mn-cs"/>
            </a:rPr>
            <a:t>Subcategoría 5: </a:t>
          </a:r>
          <a:r>
            <a:rPr lang="es-CL" sz="900">
              <a:solidFill>
                <a:sysClr val="windowText" lastClr="000000"/>
              </a:solidFill>
              <a:latin typeface="Arial Narrow" panose="020B0606020202030204" pitchFamily="34" charset="0"/>
              <a:ea typeface="+mn-ea"/>
              <a:cs typeface="+mn-cs"/>
            </a:rPr>
            <a:t>Supresión</a:t>
          </a:r>
        </a:p>
      </dgm:t>
    </dgm:pt>
    <dgm:pt modelId="{2AE0BD65-F6D9-43D6-AC6B-F3D0791D9411}" type="parTrans" cxnId="{09376EB6-3FF8-4099-8A49-EBCAF2D8631A}">
      <dgm:prSet/>
      <dgm:spPr/>
      <dgm:t>
        <a:bodyPr/>
        <a:lstStyle/>
        <a:p>
          <a:endParaRPr lang="es-CL"/>
        </a:p>
      </dgm:t>
    </dgm:pt>
    <dgm:pt modelId="{5AB1CF8D-E396-44EF-9232-30D809DFE79A}" type="sibTrans" cxnId="{09376EB6-3FF8-4099-8A49-EBCAF2D8631A}">
      <dgm:prSet/>
      <dgm:spPr>
        <a:xfrm rot="5400000">
          <a:off x="2111075" y="1986973"/>
          <a:ext cx="87340" cy="10480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s-CL">
            <a:solidFill>
              <a:sysClr val="window" lastClr="FFFFFF"/>
            </a:solidFill>
            <a:latin typeface="Calibri" panose="020F0502020204030204"/>
            <a:ea typeface="+mn-ea"/>
            <a:cs typeface="+mn-cs"/>
          </a:endParaRPr>
        </a:p>
      </dgm:t>
    </dgm:pt>
    <dgm:pt modelId="{104710C8-C7A7-457B-BB3E-3ECE55648C8D}">
      <dgm:prSet phldrT="[Texto]" custT="1"/>
      <dgm:spPr>
        <a:xfrm>
          <a:off x="695756" y="2097605"/>
          <a:ext cx="2917979"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L" sz="900" b="1">
              <a:solidFill>
                <a:sysClr val="windowText" lastClr="000000"/>
              </a:solidFill>
              <a:latin typeface="Arial Narrow" panose="020B0606020202030204" pitchFamily="34" charset="0"/>
              <a:ea typeface="+mn-ea"/>
              <a:cs typeface="+mn-cs"/>
            </a:rPr>
            <a:t>Subcategoría 6: </a:t>
          </a:r>
          <a:r>
            <a:rPr lang="es-CL" sz="900">
              <a:solidFill>
                <a:sysClr val="windowText" lastClr="000000"/>
              </a:solidFill>
              <a:latin typeface="Arial Narrow" panose="020B0606020202030204" pitchFamily="34" charset="0"/>
              <a:ea typeface="+mn-ea"/>
              <a:cs typeface="+mn-cs"/>
            </a:rPr>
            <a:t>Predominio de la perspectiva adultocéntrica</a:t>
          </a:r>
        </a:p>
      </dgm:t>
    </dgm:pt>
    <dgm:pt modelId="{5B1ABA4D-4905-44D5-B558-EA489A804FE9}" type="parTrans" cxnId="{378D493A-BCBA-4234-A2D3-608D7E706228}">
      <dgm:prSet/>
      <dgm:spPr/>
      <dgm:t>
        <a:bodyPr/>
        <a:lstStyle/>
        <a:p>
          <a:endParaRPr lang="es-CL"/>
        </a:p>
      </dgm:t>
    </dgm:pt>
    <dgm:pt modelId="{3BC6F6D2-3BF7-4AF5-BACF-4ECA495A12C3}" type="sibTrans" cxnId="{378D493A-BCBA-4234-A2D3-608D7E706228}">
      <dgm:prSet/>
      <dgm:spPr/>
      <dgm:t>
        <a:bodyPr/>
        <a:lstStyle/>
        <a:p>
          <a:endParaRPr lang="es-CL"/>
        </a:p>
      </dgm:t>
    </dgm:pt>
    <dgm:pt modelId="{CD9F6BB0-F073-40D9-9588-230641B41596}">
      <dgm:prSet custT="1"/>
      <dgm:spPr>
        <a:xfrm>
          <a:off x="698518" y="700150"/>
          <a:ext cx="2912454"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s-CL" sz="900" b="1">
              <a:solidFill>
                <a:sysClr val="windowText" lastClr="000000"/>
              </a:solidFill>
              <a:latin typeface="Arial Narrow" panose="020B0606020202030204" pitchFamily="34" charset="0"/>
              <a:ea typeface="+mn-ea"/>
              <a:cs typeface="+mn-cs"/>
            </a:rPr>
            <a:t>Subcategoría 2: </a:t>
          </a:r>
          <a:r>
            <a:rPr lang="es-CL" sz="900">
              <a:solidFill>
                <a:sysClr val="windowText" lastClr="000000"/>
              </a:solidFill>
              <a:latin typeface="Arial Narrow" panose="020B0606020202030204" pitchFamily="34" charset="0"/>
              <a:ea typeface="+mn-ea"/>
              <a:cs typeface="+mn-cs"/>
            </a:rPr>
            <a:t>Dicotomía entre los roles público masculino y  privado femenino</a:t>
          </a:r>
        </a:p>
      </dgm:t>
    </dgm:pt>
    <dgm:pt modelId="{8E5B8FA8-37C7-4F0C-93A0-7195C7B4A035}" type="parTrans" cxnId="{0446C61A-A7C6-43D7-8BC9-3CA60697CC26}">
      <dgm:prSet/>
      <dgm:spPr/>
      <dgm:t>
        <a:bodyPr/>
        <a:lstStyle/>
        <a:p>
          <a:endParaRPr lang="es-CL"/>
        </a:p>
      </dgm:t>
    </dgm:pt>
    <dgm:pt modelId="{91796C00-1575-4D85-801C-73073C2FCE44}" type="sibTrans" cxnId="{0446C61A-A7C6-43D7-8BC9-3CA60697CC26}">
      <dgm:prSet/>
      <dgm:spPr>
        <a:xfrm rot="5400000">
          <a:off x="2111075" y="938882"/>
          <a:ext cx="87340" cy="10480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s-CL">
            <a:solidFill>
              <a:sysClr val="window" lastClr="FFFFFF"/>
            </a:solidFill>
            <a:latin typeface="Calibri" panose="020F0502020204030204"/>
            <a:ea typeface="+mn-ea"/>
            <a:cs typeface="+mn-cs"/>
          </a:endParaRPr>
        </a:p>
      </dgm:t>
    </dgm:pt>
    <dgm:pt modelId="{43542626-710D-426C-962C-F1ABDB8FB0EB}">
      <dgm:prSet custT="1"/>
      <dgm:spPr>
        <a:xfrm>
          <a:off x="701280" y="1049514"/>
          <a:ext cx="2906930"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s-CL" sz="900" b="1">
              <a:solidFill>
                <a:sysClr val="windowText" lastClr="000000"/>
              </a:solidFill>
              <a:latin typeface="Arial Narrow" panose="020B0606020202030204" pitchFamily="34" charset="0"/>
              <a:ea typeface="+mn-ea"/>
              <a:cs typeface="+mn-cs"/>
            </a:rPr>
            <a:t>Subcategoría 3: </a:t>
          </a:r>
          <a:r>
            <a:rPr lang="es-CL" sz="900">
              <a:solidFill>
                <a:sysClr val="windowText" lastClr="000000"/>
              </a:solidFill>
              <a:latin typeface="Arial Narrow" panose="020B0606020202030204" pitchFamily="34" charset="0"/>
              <a:ea typeface="+mn-ea"/>
              <a:cs typeface="+mn-cs"/>
            </a:rPr>
            <a:t>Representación generalizada y anónima</a:t>
          </a:r>
        </a:p>
      </dgm:t>
    </dgm:pt>
    <dgm:pt modelId="{5EF99FF6-9FF0-4342-BC35-4E407FB753D8}" type="parTrans" cxnId="{159AE210-DA7E-40BB-AE85-E37AA157BB8D}">
      <dgm:prSet/>
      <dgm:spPr/>
      <dgm:t>
        <a:bodyPr/>
        <a:lstStyle/>
        <a:p>
          <a:endParaRPr lang="es-CL"/>
        </a:p>
      </dgm:t>
    </dgm:pt>
    <dgm:pt modelId="{589702B5-5B32-4529-ACAF-97231711D3AB}" type="sibTrans" cxnId="{159AE210-DA7E-40BB-AE85-E37AA157BB8D}">
      <dgm:prSet/>
      <dgm:spPr>
        <a:xfrm rot="5400000">
          <a:off x="2111075" y="1288246"/>
          <a:ext cx="87340" cy="10480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s-CL">
            <a:solidFill>
              <a:sysClr val="window" lastClr="FFFFFF"/>
            </a:solidFill>
            <a:latin typeface="Calibri" panose="020F0502020204030204"/>
            <a:ea typeface="+mn-ea"/>
            <a:cs typeface="+mn-cs"/>
          </a:endParaRPr>
        </a:p>
      </dgm:t>
    </dgm:pt>
    <dgm:pt modelId="{AE9B18E1-A8E9-4522-A96A-387AC11BD984}">
      <dgm:prSet custT="1"/>
      <dgm:spPr>
        <a:xfrm>
          <a:off x="695756" y="1398878"/>
          <a:ext cx="2917979"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CL" sz="900" b="1">
              <a:solidFill>
                <a:sysClr val="windowText" lastClr="000000"/>
              </a:solidFill>
              <a:latin typeface="Arial Narrow" panose="020B0606020202030204" pitchFamily="34" charset="0"/>
              <a:ea typeface="+mn-ea"/>
              <a:cs typeface="+mn-cs"/>
            </a:rPr>
            <a:t>Subcategoría 4: </a:t>
          </a:r>
          <a:r>
            <a:rPr lang="es-CL" sz="900">
              <a:solidFill>
                <a:sysClr val="windowText" lastClr="000000"/>
              </a:solidFill>
              <a:latin typeface="Arial Narrow" panose="020B0606020202030204" pitchFamily="34" charset="0"/>
              <a:ea typeface="+mn-ea"/>
              <a:cs typeface="+mn-cs"/>
            </a:rPr>
            <a:t>Exclusión parcial</a:t>
          </a:r>
        </a:p>
      </dgm:t>
    </dgm:pt>
    <dgm:pt modelId="{18402930-D5DB-4B2F-B1FE-C79DA0069707}" type="parTrans" cxnId="{076C17F3-C87A-43C6-8702-F3A30C90EF62}">
      <dgm:prSet/>
      <dgm:spPr/>
      <dgm:t>
        <a:bodyPr/>
        <a:lstStyle/>
        <a:p>
          <a:endParaRPr lang="es-CL"/>
        </a:p>
      </dgm:t>
    </dgm:pt>
    <dgm:pt modelId="{CE35B854-4797-4E7A-BC26-1FFC608CD79E}" type="sibTrans" cxnId="{076C17F3-C87A-43C6-8702-F3A30C90EF62}">
      <dgm:prSet/>
      <dgm:spPr>
        <a:xfrm rot="5400000">
          <a:off x="2111075" y="1637610"/>
          <a:ext cx="87340" cy="10480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s-CL">
            <a:solidFill>
              <a:sysClr val="window" lastClr="FFFFFF"/>
            </a:solidFill>
            <a:latin typeface="Calibri" panose="020F0502020204030204"/>
            <a:ea typeface="+mn-ea"/>
            <a:cs typeface="+mn-cs"/>
          </a:endParaRPr>
        </a:p>
      </dgm:t>
    </dgm:pt>
    <dgm:pt modelId="{0FA87D59-697D-480E-90D1-34C1FC0A3DE0}">
      <dgm:prSet custT="1"/>
      <dgm:spPr>
        <a:xfrm>
          <a:off x="701280" y="350786"/>
          <a:ext cx="2906930"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s-CL" sz="900" b="1">
              <a:solidFill>
                <a:sysClr val="windowText" lastClr="000000"/>
              </a:solidFill>
              <a:latin typeface="Arial Narrow" panose="020B0606020202030204" pitchFamily="34" charset="0"/>
              <a:ea typeface="+mn-ea"/>
              <a:cs typeface="+mn-cs"/>
            </a:rPr>
            <a:t>Subcategoría 1: </a:t>
          </a:r>
          <a:r>
            <a:rPr lang="es-CL" sz="900">
              <a:solidFill>
                <a:sysClr val="windowText" lastClr="000000"/>
              </a:solidFill>
              <a:latin typeface="Arial Narrow" panose="020B0606020202030204" pitchFamily="34" charset="0"/>
              <a:ea typeface="+mn-ea"/>
              <a:cs typeface="+mn-cs"/>
            </a:rPr>
            <a:t>Diferenciación sexista en la etapa infantil</a:t>
          </a:r>
        </a:p>
      </dgm:t>
    </dgm:pt>
    <dgm:pt modelId="{6160CB06-BE07-4B04-A790-2FF274BBDDC5}" type="parTrans" cxnId="{35C5400E-D788-4D5B-9B2A-72596407648F}">
      <dgm:prSet/>
      <dgm:spPr/>
      <dgm:t>
        <a:bodyPr/>
        <a:lstStyle/>
        <a:p>
          <a:endParaRPr lang="es-CL"/>
        </a:p>
      </dgm:t>
    </dgm:pt>
    <dgm:pt modelId="{93285FF7-CD3B-4176-85DE-C14537B5F221}" type="sibTrans" cxnId="{35C5400E-D788-4D5B-9B2A-72596407648F}">
      <dgm:prSet/>
      <dgm:spPr>
        <a:xfrm rot="5400000">
          <a:off x="2111075" y="589518"/>
          <a:ext cx="87340" cy="10480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s-CL">
            <a:solidFill>
              <a:sysClr val="window" lastClr="FFFFFF"/>
            </a:solidFill>
            <a:latin typeface="Calibri" panose="020F0502020204030204"/>
            <a:ea typeface="+mn-ea"/>
            <a:cs typeface="+mn-cs"/>
          </a:endParaRPr>
        </a:p>
      </dgm:t>
    </dgm:pt>
    <dgm:pt modelId="{1FB44466-5EF6-46ED-B937-4DC68C3F11D0}" type="pres">
      <dgm:prSet presAssocID="{0AD7D758-19C2-4B72-8A91-8202423F261E}" presName="linearFlow" presStyleCnt="0">
        <dgm:presLayoutVars>
          <dgm:resizeHandles val="exact"/>
        </dgm:presLayoutVars>
      </dgm:prSet>
      <dgm:spPr/>
      <dgm:t>
        <a:bodyPr/>
        <a:lstStyle/>
        <a:p>
          <a:endParaRPr lang="es-ES"/>
        </a:p>
      </dgm:t>
    </dgm:pt>
    <dgm:pt modelId="{3881E9DC-9783-4840-95D8-820959E72695}" type="pres">
      <dgm:prSet presAssocID="{DE49EF24-6E4D-4F91-AE5A-2F3D8A475040}" presName="node" presStyleLbl="node1" presStyleIdx="0" presStyleCnt="7" custScaleX="320921">
        <dgm:presLayoutVars>
          <dgm:bulletEnabled val="1"/>
        </dgm:presLayoutVars>
      </dgm:prSet>
      <dgm:spPr/>
      <dgm:t>
        <a:bodyPr/>
        <a:lstStyle/>
        <a:p>
          <a:endParaRPr lang="es-ES"/>
        </a:p>
      </dgm:t>
    </dgm:pt>
    <dgm:pt modelId="{473B190C-9EC2-46D8-8F6C-094790A8093C}" type="pres">
      <dgm:prSet presAssocID="{9E4A7D69-D27C-48A9-9CCF-E2914AF954D3}" presName="sibTrans" presStyleLbl="sibTrans2D1" presStyleIdx="0" presStyleCnt="6"/>
      <dgm:spPr/>
      <dgm:t>
        <a:bodyPr/>
        <a:lstStyle/>
        <a:p>
          <a:endParaRPr lang="es-ES"/>
        </a:p>
      </dgm:t>
    </dgm:pt>
    <dgm:pt modelId="{474AB14A-C7C0-4746-B7FB-49D8C53C3F52}" type="pres">
      <dgm:prSet presAssocID="{9E4A7D69-D27C-48A9-9CCF-E2914AF954D3}" presName="connectorText" presStyleLbl="sibTrans2D1" presStyleIdx="0" presStyleCnt="6"/>
      <dgm:spPr/>
      <dgm:t>
        <a:bodyPr/>
        <a:lstStyle/>
        <a:p>
          <a:endParaRPr lang="es-ES"/>
        </a:p>
      </dgm:t>
    </dgm:pt>
    <dgm:pt modelId="{D7699DB4-646E-48D7-803B-EF1D12E97A1D}" type="pres">
      <dgm:prSet presAssocID="{0FA87D59-697D-480E-90D1-34C1FC0A3DE0}" presName="node" presStyleLbl="node1" presStyleIdx="1" presStyleCnt="7" custScaleX="312024">
        <dgm:presLayoutVars>
          <dgm:bulletEnabled val="1"/>
        </dgm:presLayoutVars>
      </dgm:prSet>
      <dgm:spPr/>
      <dgm:t>
        <a:bodyPr/>
        <a:lstStyle/>
        <a:p>
          <a:endParaRPr lang="es-ES"/>
        </a:p>
      </dgm:t>
    </dgm:pt>
    <dgm:pt modelId="{02C7AFDD-CF70-4FC2-B761-491CBB4991C3}" type="pres">
      <dgm:prSet presAssocID="{93285FF7-CD3B-4176-85DE-C14537B5F221}" presName="sibTrans" presStyleLbl="sibTrans2D1" presStyleIdx="1" presStyleCnt="6"/>
      <dgm:spPr/>
      <dgm:t>
        <a:bodyPr/>
        <a:lstStyle/>
        <a:p>
          <a:endParaRPr lang="es-ES"/>
        </a:p>
      </dgm:t>
    </dgm:pt>
    <dgm:pt modelId="{4A7BE033-A01D-4579-9338-AF4FC255A56D}" type="pres">
      <dgm:prSet presAssocID="{93285FF7-CD3B-4176-85DE-C14537B5F221}" presName="connectorText" presStyleLbl="sibTrans2D1" presStyleIdx="1" presStyleCnt="6"/>
      <dgm:spPr/>
      <dgm:t>
        <a:bodyPr/>
        <a:lstStyle/>
        <a:p>
          <a:endParaRPr lang="es-ES"/>
        </a:p>
      </dgm:t>
    </dgm:pt>
    <dgm:pt modelId="{035D24E6-3791-4701-BE0B-4B85F1BB53E3}" type="pres">
      <dgm:prSet presAssocID="{CD9F6BB0-F073-40D9-9588-230641B41596}" presName="node" presStyleLbl="node1" presStyleIdx="2" presStyleCnt="7" custScaleX="312617">
        <dgm:presLayoutVars>
          <dgm:bulletEnabled val="1"/>
        </dgm:presLayoutVars>
      </dgm:prSet>
      <dgm:spPr/>
      <dgm:t>
        <a:bodyPr/>
        <a:lstStyle/>
        <a:p>
          <a:endParaRPr lang="es-ES"/>
        </a:p>
      </dgm:t>
    </dgm:pt>
    <dgm:pt modelId="{E562A2C6-0524-4CEF-BDEE-489082622AD7}" type="pres">
      <dgm:prSet presAssocID="{91796C00-1575-4D85-801C-73073C2FCE44}" presName="sibTrans" presStyleLbl="sibTrans2D1" presStyleIdx="2" presStyleCnt="6"/>
      <dgm:spPr/>
      <dgm:t>
        <a:bodyPr/>
        <a:lstStyle/>
        <a:p>
          <a:endParaRPr lang="es-ES"/>
        </a:p>
      </dgm:t>
    </dgm:pt>
    <dgm:pt modelId="{3154E209-6013-4BED-B4C4-072EC6EEE522}" type="pres">
      <dgm:prSet presAssocID="{91796C00-1575-4D85-801C-73073C2FCE44}" presName="connectorText" presStyleLbl="sibTrans2D1" presStyleIdx="2" presStyleCnt="6"/>
      <dgm:spPr/>
      <dgm:t>
        <a:bodyPr/>
        <a:lstStyle/>
        <a:p>
          <a:endParaRPr lang="es-ES"/>
        </a:p>
      </dgm:t>
    </dgm:pt>
    <dgm:pt modelId="{1206E3E7-51FC-4DF1-9902-A5FCDBC5849B}" type="pres">
      <dgm:prSet presAssocID="{43542626-710D-426C-962C-F1ABDB8FB0EB}" presName="node" presStyleLbl="node1" presStyleIdx="3" presStyleCnt="7" custScaleX="312024">
        <dgm:presLayoutVars>
          <dgm:bulletEnabled val="1"/>
        </dgm:presLayoutVars>
      </dgm:prSet>
      <dgm:spPr/>
      <dgm:t>
        <a:bodyPr/>
        <a:lstStyle/>
        <a:p>
          <a:endParaRPr lang="es-ES"/>
        </a:p>
      </dgm:t>
    </dgm:pt>
    <dgm:pt modelId="{4333E127-AA4B-49DA-8BBE-72658EEF3064}" type="pres">
      <dgm:prSet presAssocID="{589702B5-5B32-4529-ACAF-97231711D3AB}" presName="sibTrans" presStyleLbl="sibTrans2D1" presStyleIdx="3" presStyleCnt="6"/>
      <dgm:spPr/>
      <dgm:t>
        <a:bodyPr/>
        <a:lstStyle/>
        <a:p>
          <a:endParaRPr lang="es-ES"/>
        </a:p>
      </dgm:t>
    </dgm:pt>
    <dgm:pt modelId="{14185931-6C76-4CF5-BC0F-ED7303FF849C}" type="pres">
      <dgm:prSet presAssocID="{589702B5-5B32-4529-ACAF-97231711D3AB}" presName="connectorText" presStyleLbl="sibTrans2D1" presStyleIdx="3" presStyleCnt="6"/>
      <dgm:spPr/>
      <dgm:t>
        <a:bodyPr/>
        <a:lstStyle/>
        <a:p>
          <a:endParaRPr lang="es-ES"/>
        </a:p>
      </dgm:t>
    </dgm:pt>
    <dgm:pt modelId="{5EBE0D73-4B2B-4479-97EC-8495C32F6BC8}" type="pres">
      <dgm:prSet presAssocID="{AE9B18E1-A8E9-4522-A96A-387AC11BD984}" presName="node" presStyleLbl="node1" presStyleIdx="4" presStyleCnt="7" custScaleX="313210">
        <dgm:presLayoutVars>
          <dgm:bulletEnabled val="1"/>
        </dgm:presLayoutVars>
      </dgm:prSet>
      <dgm:spPr/>
      <dgm:t>
        <a:bodyPr/>
        <a:lstStyle/>
        <a:p>
          <a:endParaRPr lang="es-ES"/>
        </a:p>
      </dgm:t>
    </dgm:pt>
    <dgm:pt modelId="{AE850EAF-7298-43BC-8571-1D0DBE589B89}" type="pres">
      <dgm:prSet presAssocID="{CE35B854-4797-4E7A-BC26-1FFC608CD79E}" presName="sibTrans" presStyleLbl="sibTrans2D1" presStyleIdx="4" presStyleCnt="6"/>
      <dgm:spPr/>
      <dgm:t>
        <a:bodyPr/>
        <a:lstStyle/>
        <a:p>
          <a:endParaRPr lang="es-ES"/>
        </a:p>
      </dgm:t>
    </dgm:pt>
    <dgm:pt modelId="{39F14525-C63B-4416-A21B-5A96C1028689}" type="pres">
      <dgm:prSet presAssocID="{CE35B854-4797-4E7A-BC26-1FFC608CD79E}" presName="connectorText" presStyleLbl="sibTrans2D1" presStyleIdx="4" presStyleCnt="6"/>
      <dgm:spPr/>
      <dgm:t>
        <a:bodyPr/>
        <a:lstStyle/>
        <a:p>
          <a:endParaRPr lang="es-ES"/>
        </a:p>
      </dgm:t>
    </dgm:pt>
    <dgm:pt modelId="{EC053330-485E-44E2-A5C7-0B86F08B19B7}" type="pres">
      <dgm:prSet presAssocID="{C2355BFD-4EDA-47F0-A358-9C3C2FBBB578}" presName="node" presStyleLbl="node1" presStyleIdx="5" presStyleCnt="7" custScaleX="313210">
        <dgm:presLayoutVars>
          <dgm:bulletEnabled val="1"/>
        </dgm:presLayoutVars>
      </dgm:prSet>
      <dgm:spPr/>
      <dgm:t>
        <a:bodyPr/>
        <a:lstStyle/>
        <a:p>
          <a:endParaRPr lang="es-ES"/>
        </a:p>
      </dgm:t>
    </dgm:pt>
    <dgm:pt modelId="{73F79E90-3717-43A6-A00F-EB969CFD610F}" type="pres">
      <dgm:prSet presAssocID="{5AB1CF8D-E396-44EF-9232-30D809DFE79A}" presName="sibTrans" presStyleLbl="sibTrans2D1" presStyleIdx="5" presStyleCnt="6"/>
      <dgm:spPr/>
      <dgm:t>
        <a:bodyPr/>
        <a:lstStyle/>
        <a:p>
          <a:endParaRPr lang="es-ES"/>
        </a:p>
      </dgm:t>
    </dgm:pt>
    <dgm:pt modelId="{2EA58529-6778-4E25-86D6-BCB955A25EF3}" type="pres">
      <dgm:prSet presAssocID="{5AB1CF8D-E396-44EF-9232-30D809DFE79A}" presName="connectorText" presStyleLbl="sibTrans2D1" presStyleIdx="5" presStyleCnt="6"/>
      <dgm:spPr/>
      <dgm:t>
        <a:bodyPr/>
        <a:lstStyle/>
        <a:p>
          <a:endParaRPr lang="es-ES"/>
        </a:p>
      </dgm:t>
    </dgm:pt>
    <dgm:pt modelId="{78B6C817-36D8-422D-9F5F-70B577D42A12}" type="pres">
      <dgm:prSet presAssocID="{104710C8-C7A7-457B-BB3E-3ECE55648C8D}" presName="node" presStyleLbl="node1" presStyleIdx="6" presStyleCnt="7" custScaleX="313210">
        <dgm:presLayoutVars>
          <dgm:bulletEnabled val="1"/>
        </dgm:presLayoutVars>
      </dgm:prSet>
      <dgm:spPr/>
      <dgm:t>
        <a:bodyPr/>
        <a:lstStyle/>
        <a:p>
          <a:endParaRPr lang="es-ES"/>
        </a:p>
      </dgm:t>
    </dgm:pt>
  </dgm:ptLst>
  <dgm:cxnLst>
    <dgm:cxn modelId="{1FC1D37F-259A-467A-9C94-BD12C5A88EFB}" type="presOf" srcId="{91796C00-1575-4D85-801C-73073C2FCE44}" destId="{3154E209-6013-4BED-B4C4-072EC6EEE522}" srcOrd="1" destOrd="0" presId="urn:microsoft.com/office/officeart/2005/8/layout/process2"/>
    <dgm:cxn modelId="{9716A11B-A9D0-4B91-8C47-87FC0D9A2573}" type="presOf" srcId="{9E4A7D69-D27C-48A9-9CCF-E2914AF954D3}" destId="{474AB14A-C7C0-4746-B7FB-49D8C53C3F52}" srcOrd="1" destOrd="0" presId="urn:microsoft.com/office/officeart/2005/8/layout/process2"/>
    <dgm:cxn modelId="{E1AE10AC-CD05-43FF-871D-52CF265B4D8C}" type="presOf" srcId="{CE35B854-4797-4E7A-BC26-1FFC608CD79E}" destId="{39F14525-C63B-4416-A21B-5A96C1028689}" srcOrd="1" destOrd="0" presId="urn:microsoft.com/office/officeart/2005/8/layout/process2"/>
    <dgm:cxn modelId="{BEAED345-0FCF-4120-9067-C0D8D21A017A}" type="presOf" srcId="{43542626-710D-426C-962C-F1ABDB8FB0EB}" destId="{1206E3E7-51FC-4DF1-9902-A5FCDBC5849B}" srcOrd="0" destOrd="0" presId="urn:microsoft.com/office/officeart/2005/8/layout/process2"/>
    <dgm:cxn modelId="{1D4F0133-126B-4292-8933-06A4403C5CB7}" srcId="{0AD7D758-19C2-4B72-8A91-8202423F261E}" destId="{DE49EF24-6E4D-4F91-AE5A-2F3D8A475040}" srcOrd="0" destOrd="0" parTransId="{FBCDF0C8-BE1E-41CC-9583-F92F61792450}" sibTransId="{9E4A7D69-D27C-48A9-9CCF-E2914AF954D3}"/>
    <dgm:cxn modelId="{C268CC8A-D7AB-4E22-BB99-BAEA021664FE}" type="presOf" srcId="{9E4A7D69-D27C-48A9-9CCF-E2914AF954D3}" destId="{473B190C-9EC2-46D8-8F6C-094790A8093C}" srcOrd="0" destOrd="0" presId="urn:microsoft.com/office/officeart/2005/8/layout/process2"/>
    <dgm:cxn modelId="{B01E4072-A99D-4B86-84B6-DF6D7F2C91D8}" type="presOf" srcId="{91796C00-1575-4D85-801C-73073C2FCE44}" destId="{E562A2C6-0524-4CEF-BDEE-489082622AD7}" srcOrd="0" destOrd="0" presId="urn:microsoft.com/office/officeart/2005/8/layout/process2"/>
    <dgm:cxn modelId="{EFA98496-8AB9-47B8-A985-5F8A853BEAAE}" type="presOf" srcId="{93285FF7-CD3B-4176-85DE-C14537B5F221}" destId="{02C7AFDD-CF70-4FC2-B761-491CBB4991C3}" srcOrd="0" destOrd="0" presId="urn:microsoft.com/office/officeart/2005/8/layout/process2"/>
    <dgm:cxn modelId="{12AC8B15-AF01-4DEB-AA1A-556304DD959B}" type="presOf" srcId="{CE35B854-4797-4E7A-BC26-1FFC608CD79E}" destId="{AE850EAF-7298-43BC-8571-1D0DBE589B89}" srcOrd="0" destOrd="0" presId="urn:microsoft.com/office/officeart/2005/8/layout/process2"/>
    <dgm:cxn modelId="{0446C61A-A7C6-43D7-8BC9-3CA60697CC26}" srcId="{0AD7D758-19C2-4B72-8A91-8202423F261E}" destId="{CD9F6BB0-F073-40D9-9588-230641B41596}" srcOrd="2" destOrd="0" parTransId="{8E5B8FA8-37C7-4F0C-93A0-7195C7B4A035}" sibTransId="{91796C00-1575-4D85-801C-73073C2FCE44}"/>
    <dgm:cxn modelId="{32B6A5D9-06FF-4C56-8CDE-DE8E595952AC}" type="presOf" srcId="{0FA87D59-697D-480E-90D1-34C1FC0A3DE0}" destId="{D7699DB4-646E-48D7-803B-EF1D12E97A1D}" srcOrd="0" destOrd="0" presId="urn:microsoft.com/office/officeart/2005/8/layout/process2"/>
    <dgm:cxn modelId="{72B72677-3486-4DDD-BD7A-936974E8E22D}" type="presOf" srcId="{589702B5-5B32-4529-ACAF-97231711D3AB}" destId="{14185931-6C76-4CF5-BC0F-ED7303FF849C}" srcOrd="1" destOrd="0" presId="urn:microsoft.com/office/officeart/2005/8/layout/process2"/>
    <dgm:cxn modelId="{C8CCC485-ABB1-4358-A4C5-AC807333C89F}" type="presOf" srcId="{93285FF7-CD3B-4176-85DE-C14537B5F221}" destId="{4A7BE033-A01D-4579-9338-AF4FC255A56D}" srcOrd="1" destOrd="0" presId="urn:microsoft.com/office/officeart/2005/8/layout/process2"/>
    <dgm:cxn modelId="{35C5400E-D788-4D5B-9B2A-72596407648F}" srcId="{0AD7D758-19C2-4B72-8A91-8202423F261E}" destId="{0FA87D59-697D-480E-90D1-34C1FC0A3DE0}" srcOrd="1" destOrd="0" parTransId="{6160CB06-BE07-4B04-A790-2FF274BBDDC5}" sibTransId="{93285FF7-CD3B-4176-85DE-C14537B5F221}"/>
    <dgm:cxn modelId="{F5090B1F-A7EC-4F8D-A901-244DCC4E7D97}" type="presOf" srcId="{104710C8-C7A7-457B-BB3E-3ECE55648C8D}" destId="{78B6C817-36D8-422D-9F5F-70B577D42A12}" srcOrd="0" destOrd="0" presId="urn:microsoft.com/office/officeart/2005/8/layout/process2"/>
    <dgm:cxn modelId="{076C17F3-C87A-43C6-8702-F3A30C90EF62}" srcId="{0AD7D758-19C2-4B72-8A91-8202423F261E}" destId="{AE9B18E1-A8E9-4522-A96A-387AC11BD984}" srcOrd="4" destOrd="0" parTransId="{18402930-D5DB-4B2F-B1FE-C79DA0069707}" sibTransId="{CE35B854-4797-4E7A-BC26-1FFC608CD79E}"/>
    <dgm:cxn modelId="{7D357AF1-8851-4F44-A6F8-204365D24C02}" type="presOf" srcId="{AE9B18E1-A8E9-4522-A96A-387AC11BD984}" destId="{5EBE0D73-4B2B-4479-97EC-8495C32F6BC8}" srcOrd="0" destOrd="0" presId="urn:microsoft.com/office/officeart/2005/8/layout/process2"/>
    <dgm:cxn modelId="{F35B9785-87CE-4A14-BFC4-551A472763E6}" type="presOf" srcId="{5AB1CF8D-E396-44EF-9232-30D809DFE79A}" destId="{73F79E90-3717-43A6-A00F-EB969CFD610F}" srcOrd="0" destOrd="0" presId="urn:microsoft.com/office/officeart/2005/8/layout/process2"/>
    <dgm:cxn modelId="{5B1F7A0A-810C-4E4B-8F6D-7EAD6A7949CD}" type="presOf" srcId="{C2355BFD-4EDA-47F0-A358-9C3C2FBBB578}" destId="{EC053330-485E-44E2-A5C7-0B86F08B19B7}" srcOrd="0" destOrd="0" presId="urn:microsoft.com/office/officeart/2005/8/layout/process2"/>
    <dgm:cxn modelId="{E28BCF84-554E-4086-A460-F8C0140CC3B5}" type="presOf" srcId="{5AB1CF8D-E396-44EF-9232-30D809DFE79A}" destId="{2EA58529-6778-4E25-86D6-BCB955A25EF3}" srcOrd="1" destOrd="0" presId="urn:microsoft.com/office/officeart/2005/8/layout/process2"/>
    <dgm:cxn modelId="{5C40D232-84C8-4A81-9554-5FE045FF7E51}" type="presOf" srcId="{CD9F6BB0-F073-40D9-9588-230641B41596}" destId="{035D24E6-3791-4701-BE0B-4B85F1BB53E3}" srcOrd="0" destOrd="0" presId="urn:microsoft.com/office/officeart/2005/8/layout/process2"/>
    <dgm:cxn modelId="{159AE210-DA7E-40BB-AE85-E37AA157BB8D}" srcId="{0AD7D758-19C2-4B72-8A91-8202423F261E}" destId="{43542626-710D-426C-962C-F1ABDB8FB0EB}" srcOrd="3" destOrd="0" parTransId="{5EF99FF6-9FF0-4342-BC35-4E407FB753D8}" sibTransId="{589702B5-5B32-4529-ACAF-97231711D3AB}"/>
    <dgm:cxn modelId="{FB49108A-9609-4A75-A9AD-CAB03920D416}" type="presOf" srcId="{DE49EF24-6E4D-4F91-AE5A-2F3D8A475040}" destId="{3881E9DC-9783-4840-95D8-820959E72695}" srcOrd="0" destOrd="0" presId="urn:microsoft.com/office/officeart/2005/8/layout/process2"/>
    <dgm:cxn modelId="{C250466F-B271-4755-94C6-D569201C6CAD}" type="presOf" srcId="{0AD7D758-19C2-4B72-8A91-8202423F261E}" destId="{1FB44466-5EF6-46ED-B937-4DC68C3F11D0}" srcOrd="0" destOrd="0" presId="urn:microsoft.com/office/officeart/2005/8/layout/process2"/>
    <dgm:cxn modelId="{09376EB6-3FF8-4099-8A49-EBCAF2D8631A}" srcId="{0AD7D758-19C2-4B72-8A91-8202423F261E}" destId="{C2355BFD-4EDA-47F0-A358-9C3C2FBBB578}" srcOrd="5" destOrd="0" parTransId="{2AE0BD65-F6D9-43D6-AC6B-F3D0791D9411}" sibTransId="{5AB1CF8D-E396-44EF-9232-30D809DFE79A}"/>
    <dgm:cxn modelId="{94920346-FB61-4F62-9464-A856687CE72D}" type="presOf" srcId="{589702B5-5B32-4529-ACAF-97231711D3AB}" destId="{4333E127-AA4B-49DA-8BBE-72658EEF3064}" srcOrd="0" destOrd="0" presId="urn:microsoft.com/office/officeart/2005/8/layout/process2"/>
    <dgm:cxn modelId="{378D493A-BCBA-4234-A2D3-608D7E706228}" srcId="{0AD7D758-19C2-4B72-8A91-8202423F261E}" destId="{104710C8-C7A7-457B-BB3E-3ECE55648C8D}" srcOrd="6" destOrd="0" parTransId="{5B1ABA4D-4905-44D5-B558-EA489A804FE9}" sibTransId="{3BC6F6D2-3BF7-4AF5-BACF-4ECA495A12C3}"/>
    <dgm:cxn modelId="{9C56EC24-42D4-40C9-BC95-99A44B616DFE}" type="presParOf" srcId="{1FB44466-5EF6-46ED-B937-4DC68C3F11D0}" destId="{3881E9DC-9783-4840-95D8-820959E72695}" srcOrd="0" destOrd="0" presId="urn:microsoft.com/office/officeart/2005/8/layout/process2"/>
    <dgm:cxn modelId="{00C63F6E-8EA7-4A80-98FD-9E9D1B8DF37A}" type="presParOf" srcId="{1FB44466-5EF6-46ED-B937-4DC68C3F11D0}" destId="{473B190C-9EC2-46D8-8F6C-094790A8093C}" srcOrd="1" destOrd="0" presId="urn:microsoft.com/office/officeart/2005/8/layout/process2"/>
    <dgm:cxn modelId="{24EB1478-0139-41A0-9898-D12436F0A9E7}" type="presParOf" srcId="{473B190C-9EC2-46D8-8F6C-094790A8093C}" destId="{474AB14A-C7C0-4746-B7FB-49D8C53C3F52}" srcOrd="0" destOrd="0" presId="urn:microsoft.com/office/officeart/2005/8/layout/process2"/>
    <dgm:cxn modelId="{9C08FF26-EC9C-4B69-A372-AB089C2377D6}" type="presParOf" srcId="{1FB44466-5EF6-46ED-B937-4DC68C3F11D0}" destId="{D7699DB4-646E-48D7-803B-EF1D12E97A1D}" srcOrd="2" destOrd="0" presId="urn:microsoft.com/office/officeart/2005/8/layout/process2"/>
    <dgm:cxn modelId="{A14F96D9-E035-4981-8741-E35720AA0759}" type="presParOf" srcId="{1FB44466-5EF6-46ED-B937-4DC68C3F11D0}" destId="{02C7AFDD-CF70-4FC2-B761-491CBB4991C3}" srcOrd="3" destOrd="0" presId="urn:microsoft.com/office/officeart/2005/8/layout/process2"/>
    <dgm:cxn modelId="{28A2C195-0136-4727-85DE-E7ED07F929C7}" type="presParOf" srcId="{02C7AFDD-CF70-4FC2-B761-491CBB4991C3}" destId="{4A7BE033-A01D-4579-9338-AF4FC255A56D}" srcOrd="0" destOrd="0" presId="urn:microsoft.com/office/officeart/2005/8/layout/process2"/>
    <dgm:cxn modelId="{BF4EA73C-50E2-4141-B502-AF44F126927D}" type="presParOf" srcId="{1FB44466-5EF6-46ED-B937-4DC68C3F11D0}" destId="{035D24E6-3791-4701-BE0B-4B85F1BB53E3}" srcOrd="4" destOrd="0" presId="urn:microsoft.com/office/officeart/2005/8/layout/process2"/>
    <dgm:cxn modelId="{CB14588C-8183-4DE8-A8C7-0E310F5FEE1F}" type="presParOf" srcId="{1FB44466-5EF6-46ED-B937-4DC68C3F11D0}" destId="{E562A2C6-0524-4CEF-BDEE-489082622AD7}" srcOrd="5" destOrd="0" presId="urn:microsoft.com/office/officeart/2005/8/layout/process2"/>
    <dgm:cxn modelId="{CABCCE88-AB25-44FC-9E54-13C177D06A20}" type="presParOf" srcId="{E562A2C6-0524-4CEF-BDEE-489082622AD7}" destId="{3154E209-6013-4BED-B4C4-072EC6EEE522}" srcOrd="0" destOrd="0" presId="urn:microsoft.com/office/officeart/2005/8/layout/process2"/>
    <dgm:cxn modelId="{05BC63C2-D365-4F61-9258-C2054C7FB1C6}" type="presParOf" srcId="{1FB44466-5EF6-46ED-B937-4DC68C3F11D0}" destId="{1206E3E7-51FC-4DF1-9902-A5FCDBC5849B}" srcOrd="6" destOrd="0" presId="urn:microsoft.com/office/officeart/2005/8/layout/process2"/>
    <dgm:cxn modelId="{C9BDF48C-1DE1-4806-B84B-4A274D83F4D1}" type="presParOf" srcId="{1FB44466-5EF6-46ED-B937-4DC68C3F11D0}" destId="{4333E127-AA4B-49DA-8BBE-72658EEF3064}" srcOrd="7" destOrd="0" presId="urn:microsoft.com/office/officeart/2005/8/layout/process2"/>
    <dgm:cxn modelId="{E9CC93B1-50D3-471B-8FD3-A7D3D2D73DB3}" type="presParOf" srcId="{4333E127-AA4B-49DA-8BBE-72658EEF3064}" destId="{14185931-6C76-4CF5-BC0F-ED7303FF849C}" srcOrd="0" destOrd="0" presId="urn:microsoft.com/office/officeart/2005/8/layout/process2"/>
    <dgm:cxn modelId="{9C92C6B4-A99F-4E11-9B7F-8322BE44D708}" type="presParOf" srcId="{1FB44466-5EF6-46ED-B937-4DC68C3F11D0}" destId="{5EBE0D73-4B2B-4479-97EC-8495C32F6BC8}" srcOrd="8" destOrd="0" presId="urn:microsoft.com/office/officeart/2005/8/layout/process2"/>
    <dgm:cxn modelId="{41B4032C-96CD-47F6-9E3B-1BCDAD215B2F}" type="presParOf" srcId="{1FB44466-5EF6-46ED-B937-4DC68C3F11D0}" destId="{AE850EAF-7298-43BC-8571-1D0DBE589B89}" srcOrd="9" destOrd="0" presId="urn:microsoft.com/office/officeart/2005/8/layout/process2"/>
    <dgm:cxn modelId="{F9396928-2CEB-4C43-9EC2-A00A99CEF08D}" type="presParOf" srcId="{AE850EAF-7298-43BC-8571-1D0DBE589B89}" destId="{39F14525-C63B-4416-A21B-5A96C1028689}" srcOrd="0" destOrd="0" presId="urn:microsoft.com/office/officeart/2005/8/layout/process2"/>
    <dgm:cxn modelId="{B6CCAC75-6E5F-42D3-8CE0-7EEE4E7EE57D}" type="presParOf" srcId="{1FB44466-5EF6-46ED-B937-4DC68C3F11D0}" destId="{EC053330-485E-44E2-A5C7-0B86F08B19B7}" srcOrd="10" destOrd="0" presId="urn:microsoft.com/office/officeart/2005/8/layout/process2"/>
    <dgm:cxn modelId="{66CFBD8B-457A-4F8E-A7F8-5A9A6304DBA3}" type="presParOf" srcId="{1FB44466-5EF6-46ED-B937-4DC68C3F11D0}" destId="{73F79E90-3717-43A6-A00F-EB969CFD610F}" srcOrd="11" destOrd="0" presId="urn:microsoft.com/office/officeart/2005/8/layout/process2"/>
    <dgm:cxn modelId="{36F74C2E-6F94-4AD3-A787-CD28325ECFB0}" type="presParOf" srcId="{73F79E90-3717-43A6-A00F-EB969CFD610F}" destId="{2EA58529-6778-4E25-86D6-BCB955A25EF3}" srcOrd="0" destOrd="0" presId="urn:microsoft.com/office/officeart/2005/8/layout/process2"/>
    <dgm:cxn modelId="{BC528A08-29C3-4BAE-AD03-524C794979D3}" type="presParOf" srcId="{1FB44466-5EF6-46ED-B937-4DC68C3F11D0}" destId="{78B6C817-36D8-422D-9F5F-70B577D42A12}" srcOrd="12"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81E9DC-9783-4840-95D8-820959E72695}">
      <dsp:nvSpPr>
        <dsp:cNvPr id="0" name=""/>
        <dsp:cNvSpPr/>
      </dsp:nvSpPr>
      <dsp:spPr>
        <a:xfrm>
          <a:off x="659836" y="1423"/>
          <a:ext cx="2989818" cy="232909"/>
        </a:xfrm>
        <a:prstGeom prst="roundRect">
          <a:avLst>
            <a:gd name="adj" fmla="val 10000"/>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s-CL" sz="900" b="1" kern="1200">
              <a:solidFill>
                <a:sysClr val="windowText" lastClr="000000"/>
              </a:solidFill>
              <a:latin typeface="Arial Narrow" panose="020B0606020202030204" pitchFamily="34" charset="0"/>
              <a:ea typeface="+mn-ea"/>
              <a:cs typeface="+mn-cs"/>
            </a:rPr>
            <a:t>Categoría: </a:t>
          </a:r>
          <a:r>
            <a:rPr lang="es-CL" sz="900" kern="1200">
              <a:solidFill>
                <a:sysClr val="windowText" lastClr="000000"/>
              </a:solidFill>
              <a:latin typeface="Arial Narrow" panose="020B0606020202030204" pitchFamily="34" charset="0"/>
              <a:ea typeface="+mn-ea"/>
              <a:cs typeface="+mn-cs"/>
            </a:rPr>
            <a:t>Androcentrismo</a:t>
          </a:r>
        </a:p>
      </dsp:txBody>
      <dsp:txXfrm>
        <a:off x="666658" y="8245"/>
        <a:ext cx="2976174" cy="219265"/>
      </dsp:txXfrm>
    </dsp:sp>
    <dsp:sp modelId="{473B190C-9EC2-46D8-8F6C-094790A8093C}">
      <dsp:nvSpPr>
        <dsp:cNvPr id="0" name=""/>
        <dsp:cNvSpPr/>
      </dsp:nvSpPr>
      <dsp:spPr>
        <a:xfrm rot="5400000">
          <a:off x="2111075" y="240154"/>
          <a:ext cx="87340" cy="10480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buNone/>
          </a:pPr>
          <a:endParaRPr lang="es-CL" sz="500" kern="1200">
            <a:solidFill>
              <a:sysClr val="window" lastClr="FFFFFF"/>
            </a:solidFill>
            <a:latin typeface="Calibri" panose="020F0502020204030204"/>
            <a:ea typeface="+mn-ea"/>
            <a:cs typeface="+mn-cs"/>
          </a:endParaRPr>
        </a:p>
      </dsp:txBody>
      <dsp:txXfrm rot="-5400000">
        <a:off x="2123303" y="248888"/>
        <a:ext cx="62885" cy="61138"/>
      </dsp:txXfrm>
    </dsp:sp>
    <dsp:sp modelId="{D7699DB4-646E-48D7-803B-EF1D12E97A1D}">
      <dsp:nvSpPr>
        <dsp:cNvPr id="0" name=""/>
        <dsp:cNvSpPr/>
      </dsp:nvSpPr>
      <dsp:spPr>
        <a:xfrm>
          <a:off x="701280" y="350786"/>
          <a:ext cx="2906930"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s-CL" sz="900" b="1" kern="1200">
              <a:solidFill>
                <a:sysClr val="windowText" lastClr="000000"/>
              </a:solidFill>
              <a:latin typeface="Arial Narrow" panose="020B0606020202030204" pitchFamily="34" charset="0"/>
              <a:ea typeface="+mn-ea"/>
              <a:cs typeface="+mn-cs"/>
            </a:rPr>
            <a:t>Subcategoría 1: </a:t>
          </a:r>
          <a:r>
            <a:rPr lang="es-CL" sz="900" kern="1200">
              <a:solidFill>
                <a:sysClr val="windowText" lastClr="000000"/>
              </a:solidFill>
              <a:latin typeface="Arial Narrow" panose="020B0606020202030204" pitchFamily="34" charset="0"/>
              <a:ea typeface="+mn-ea"/>
              <a:cs typeface="+mn-cs"/>
            </a:rPr>
            <a:t>Diferenciación sexista en la etapa infantil</a:t>
          </a:r>
        </a:p>
      </dsp:txBody>
      <dsp:txXfrm>
        <a:off x="708102" y="357608"/>
        <a:ext cx="2893286" cy="219265"/>
      </dsp:txXfrm>
    </dsp:sp>
    <dsp:sp modelId="{02C7AFDD-CF70-4FC2-B761-491CBB4991C3}">
      <dsp:nvSpPr>
        <dsp:cNvPr id="0" name=""/>
        <dsp:cNvSpPr/>
      </dsp:nvSpPr>
      <dsp:spPr>
        <a:xfrm rot="5400000">
          <a:off x="2111075" y="589518"/>
          <a:ext cx="87340" cy="10480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buNone/>
          </a:pPr>
          <a:endParaRPr lang="es-CL" sz="500" kern="1200">
            <a:solidFill>
              <a:sysClr val="window" lastClr="FFFFFF"/>
            </a:solidFill>
            <a:latin typeface="Calibri" panose="020F0502020204030204"/>
            <a:ea typeface="+mn-ea"/>
            <a:cs typeface="+mn-cs"/>
          </a:endParaRPr>
        </a:p>
      </dsp:txBody>
      <dsp:txXfrm rot="-5400000">
        <a:off x="2123303" y="598252"/>
        <a:ext cx="62885" cy="61138"/>
      </dsp:txXfrm>
    </dsp:sp>
    <dsp:sp modelId="{035D24E6-3791-4701-BE0B-4B85F1BB53E3}">
      <dsp:nvSpPr>
        <dsp:cNvPr id="0" name=""/>
        <dsp:cNvSpPr/>
      </dsp:nvSpPr>
      <dsp:spPr>
        <a:xfrm>
          <a:off x="698518" y="700150"/>
          <a:ext cx="2912454"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s-CL" sz="900" b="1" kern="1200">
              <a:solidFill>
                <a:sysClr val="windowText" lastClr="000000"/>
              </a:solidFill>
              <a:latin typeface="Arial Narrow" panose="020B0606020202030204" pitchFamily="34" charset="0"/>
              <a:ea typeface="+mn-ea"/>
              <a:cs typeface="+mn-cs"/>
            </a:rPr>
            <a:t>Subcategoría 2: </a:t>
          </a:r>
          <a:r>
            <a:rPr lang="es-CL" sz="900" kern="1200">
              <a:solidFill>
                <a:sysClr val="windowText" lastClr="000000"/>
              </a:solidFill>
              <a:latin typeface="Arial Narrow" panose="020B0606020202030204" pitchFamily="34" charset="0"/>
              <a:ea typeface="+mn-ea"/>
              <a:cs typeface="+mn-cs"/>
            </a:rPr>
            <a:t>Dicotomía entre los roles público masculino y  privado femenino</a:t>
          </a:r>
        </a:p>
      </dsp:txBody>
      <dsp:txXfrm>
        <a:off x="705340" y="706972"/>
        <a:ext cx="2898810" cy="219265"/>
      </dsp:txXfrm>
    </dsp:sp>
    <dsp:sp modelId="{E562A2C6-0524-4CEF-BDEE-489082622AD7}">
      <dsp:nvSpPr>
        <dsp:cNvPr id="0" name=""/>
        <dsp:cNvSpPr/>
      </dsp:nvSpPr>
      <dsp:spPr>
        <a:xfrm rot="5400000">
          <a:off x="2111075" y="938882"/>
          <a:ext cx="87340" cy="10480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buNone/>
          </a:pPr>
          <a:endParaRPr lang="es-CL" sz="500" kern="1200">
            <a:solidFill>
              <a:sysClr val="window" lastClr="FFFFFF"/>
            </a:solidFill>
            <a:latin typeface="Calibri" panose="020F0502020204030204"/>
            <a:ea typeface="+mn-ea"/>
            <a:cs typeface="+mn-cs"/>
          </a:endParaRPr>
        </a:p>
      </dsp:txBody>
      <dsp:txXfrm rot="-5400000">
        <a:off x="2123303" y="947616"/>
        <a:ext cx="62885" cy="61138"/>
      </dsp:txXfrm>
    </dsp:sp>
    <dsp:sp modelId="{1206E3E7-51FC-4DF1-9902-A5FCDBC5849B}">
      <dsp:nvSpPr>
        <dsp:cNvPr id="0" name=""/>
        <dsp:cNvSpPr/>
      </dsp:nvSpPr>
      <dsp:spPr>
        <a:xfrm>
          <a:off x="701280" y="1049514"/>
          <a:ext cx="2906930"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s-CL" sz="900" b="1" kern="1200">
              <a:solidFill>
                <a:sysClr val="windowText" lastClr="000000"/>
              </a:solidFill>
              <a:latin typeface="Arial Narrow" panose="020B0606020202030204" pitchFamily="34" charset="0"/>
              <a:ea typeface="+mn-ea"/>
              <a:cs typeface="+mn-cs"/>
            </a:rPr>
            <a:t>Subcategoría 3: </a:t>
          </a:r>
          <a:r>
            <a:rPr lang="es-CL" sz="900" kern="1200">
              <a:solidFill>
                <a:sysClr val="windowText" lastClr="000000"/>
              </a:solidFill>
              <a:latin typeface="Arial Narrow" panose="020B0606020202030204" pitchFamily="34" charset="0"/>
              <a:ea typeface="+mn-ea"/>
              <a:cs typeface="+mn-cs"/>
            </a:rPr>
            <a:t>Representación generalizada y anónima</a:t>
          </a:r>
        </a:p>
      </dsp:txBody>
      <dsp:txXfrm>
        <a:off x="708102" y="1056336"/>
        <a:ext cx="2893286" cy="219265"/>
      </dsp:txXfrm>
    </dsp:sp>
    <dsp:sp modelId="{4333E127-AA4B-49DA-8BBE-72658EEF3064}">
      <dsp:nvSpPr>
        <dsp:cNvPr id="0" name=""/>
        <dsp:cNvSpPr/>
      </dsp:nvSpPr>
      <dsp:spPr>
        <a:xfrm rot="5400000">
          <a:off x="2111075" y="1288246"/>
          <a:ext cx="87340" cy="10480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buNone/>
          </a:pPr>
          <a:endParaRPr lang="es-CL" sz="500" kern="1200">
            <a:solidFill>
              <a:sysClr val="window" lastClr="FFFFFF"/>
            </a:solidFill>
            <a:latin typeface="Calibri" panose="020F0502020204030204"/>
            <a:ea typeface="+mn-ea"/>
            <a:cs typeface="+mn-cs"/>
          </a:endParaRPr>
        </a:p>
      </dsp:txBody>
      <dsp:txXfrm rot="-5400000">
        <a:off x="2123303" y="1296980"/>
        <a:ext cx="62885" cy="61138"/>
      </dsp:txXfrm>
    </dsp:sp>
    <dsp:sp modelId="{5EBE0D73-4B2B-4479-97EC-8495C32F6BC8}">
      <dsp:nvSpPr>
        <dsp:cNvPr id="0" name=""/>
        <dsp:cNvSpPr/>
      </dsp:nvSpPr>
      <dsp:spPr>
        <a:xfrm>
          <a:off x="695756" y="1398878"/>
          <a:ext cx="2917979"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s-CL" sz="900" b="1" kern="1200">
              <a:solidFill>
                <a:sysClr val="windowText" lastClr="000000"/>
              </a:solidFill>
              <a:latin typeface="Arial Narrow" panose="020B0606020202030204" pitchFamily="34" charset="0"/>
              <a:ea typeface="+mn-ea"/>
              <a:cs typeface="+mn-cs"/>
            </a:rPr>
            <a:t>Subcategoría 4: </a:t>
          </a:r>
          <a:r>
            <a:rPr lang="es-CL" sz="900" kern="1200">
              <a:solidFill>
                <a:sysClr val="windowText" lastClr="000000"/>
              </a:solidFill>
              <a:latin typeface="Arial Narrow" panose="020B0606020202030204" pitchFamily="34" charset="0"/>
              <a:ea typeface="+mn-ea"/>
              <a:cs typeface="+mn-cs"/>
            </a:rPr>
            <a:t>Exclusión parcial</a:t>
          </a:r>
        </a:p>
      </dsp:txBody>
      <dsp:txXfrm>
        <a:off x="702578" y="1405700"/>
        <a:ext cx="2904335" cy="219265"/>
      </dsp:txXfrm>
    </dsp:sp>
    <dsp:sp modelId="{AE850EAF-7298-43BC-8571-1D0DBE589B89}">
      <dsp:nvSpPr>
        <dsp:cNvPr id="0" name=""/>
        <dsp:cNvSpPr/>
      </dsp:nvSpPr>
      <dsp:spPr>
        <a:xfrm rot="5400000">
          <a:off x="2111075" y="1637610"/>
          <a:ext cx="87340" cy="10480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buNone/>
          </a:pPr>
          <a:endParaRPr lang="es-CL" sz="500" kern="1200">
            <a:solidFill>
              <a:sysClr val="window" lastClr="FFFFFF"/>
            </a:solidFill>
            <a:latin typeface="Calibri" panose="020F0502020204030204"/>
            <a:ea typeface="+mn-ea"/>
            <a:cs typeface="+mn-cs"/>
          </a:endParaRPr>
        </a:p>
      </dsp:txBody>
      <dsp:txXfrm rot="-5400000">
        <a:off x="2123303" y="1646344"/>
        <a:ext cx="62885" cy="61138"/>
      </dsp:txXfrm>
    </dsp:sp>
    <dsp:sp modelId="{EC053330-485E-44E2-A5C7-0B86F08B19B7}">
      <dsp:nvSpPr>
        <dsp:cNvPr id="0" name=""/>
        <dsp:cNvSpPr/>
      </dsp:nvSpPr>
      <dsp:spPr>
        <a:xfrm>
          <a:off x="695756" y="1748241"/>
          <a:ext cx="2917979"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s-CL" sz="900" b="1" kern="1200">
              <a:solidFill>
                <a:sysClr val="windowText" lastClr="000000"/>
              </a:solidFill>
              <a:latin typeface="Arial Narrow" panose="020B0606020202030204" pitchFamily="34" charset="0"/>
              <a:ea typeface="+mn-ea"/>
              <a:cs typeface="+mn-cs"/>
            </a:rPr>
            <a:t>Subcategoría 5: </a:t>
          </a:r>
          <a:r>
            <a:rPr lang="es-CL" sz="900" kern="1200">
              <a:solidFill>
                <a:sysClr val="windowText" lastClr="000000"/>
              </a:solidFill>
              <a:latin typeface="Arial Narrow" panose="020B0606020202030204" pitchFamily="34" charset="0"/>
              <a:ea typeface="+mn-ea"/>
              <a:cs typeface="+mn-cs"/>
            </a:rPr>
            <a:t>Supresión</a:t>
          </a:r>
        </a:p>
      </dsp:txBody>
      <dsp:txXfrm>
        <a:off x="702578" y="1755063"/>
        <a:ext cx="2904335" cy="219265"/>
      </dsp:txXfrm>
    </dsp:sp>
    <dsp:sp modelId="{73F79E90-3717-43A6-A00F-EB969CFD610F}">
      <dsp:nvSpPr>
        <dsp:cNvPr id="0" name=""/>
        <dsp:cNvSpPr/>
      </dsp:nvSpPr>
      <dsp:spPr>
        <a:xfrm rot="5400000">
          <a:off x="2111075" y="1986973"/>
          <a:ext cx="87340" cy="10480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buNone/>
          </a:pPr>
          <a:endParaRPr lang="es-CL" sz="500" kern="1200">
            <a:solidFill>
              <a:sysClr val="window" lastClr="FFFFFF"/>
            </a:solidFill>
            <a:latin typeface="Calibri" panose="020F0502020204030204"/>
            <a:ea typeface="+mn-ea"/>
            <a:cs typeface="+mn-cs"/>
          </a:endParaRPr>
        </a:p>
      </dsp:txBody>
      <dsp:txXfrm rot="-5400000">
        <a:off x="2123303" y="1995707"/>
        <a:ext cx="62885" cy="61138"/>
      </dsp:txXfrm>
    </dsp:sp>
    <dsp:sp modelId="{78B6C817-36D8-422D-9F5F-70B577D42A12}">
      <dsp:nvSpPr>
        <dsp:cNvPr id="0" name=""/>
        <dsp:cNvSpPr/>
      </dsp:nvSpPr>
      <dsp:spPr>
        <a:xfrm>
          <a:off x="695756" y="2097605"/>
          <a:ext cx="2917979" cy="232909"/>
        </a:xfrm>
        <a:prstGeom prst="roundRect">
          <a:avLst>
            <a:gd name="adj" fmla="val 10000"/>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s-CL" sz="900" b="1" kern="1200">
              <a:solidFill>
                <a:sysClr val="windowText" lastClr="000000"/>
              </a:solidFill>
              <a:latin typeface="Arial Narrow" panose="020B0606020202030204" pitchFamily="34" charset="0"/>
              <a:ea typeface="+mn-ea"/>
              <a:cs typeface="+mn-cs"/>
            </a:rPr>
            <a:t>Subcategoría 6: </a:t>
          </a:r>
          <a:r>
            <a:rPr lang="es-CL" sz="900" kern="1200">
              <a:solidFill>
                <a:sysClr val="windowText" lastClr="000000"/>
              </a:solidFill>
              <a:latin typeface="Arial Narrow" panose="020B0606020202030204" pitchFamily="34" charset="0"/>
              <a:ea typeface="+mn-ea"/>
              <a:cs typeface="+mn-cs"/>
            </a:rPr>
            <a:t>Predominio de la perspectiva adultocéntrica</a:t>
          </a:r>
        </a:p>
      </dsp:txBody>
      <dsp:txXfrm>
        <a:off x="702578" y="2104427"/>
        <a:ext cx="2904335" cy="2192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JjNTt7ijKASvcny26oQVxdnj0g==">AMUW2mUcpeCNd92ADiaF7vjBiIrobtsUerAY0KEp4O+/P6/0HhlvDKHvyO8GdufxyqPRx4TtBQ3b+wnRdIXHdaavQJuwHHAz8QEhu6FCzC6C2QlmJsMQnd7If1Q1a/VTV4AOK702iTuClZ3m8rOLPsYK/DY0BrdZfddFAHViilIbXnEc0lSlVTyG7UwALLgUBh7GpAfVSOIwBFZjrLyaQXdTN5cRBdssTeZQZrLSEAzfL2o22Hlb49Mkkz2ktZK/NOKN+ppS5iZDjXIZeXk9jh4xsB2v3kTQOlm+Ia9dnGIabe0BHz3+YTPo/uqRKRsa84wFV1d/vQKie4HpPw/j197X7FL72oAu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0BE92B-2910-470F-B2F5-B6F9022F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12</Pages>
  <Words>4449</Words>
  <Characters>24471</Characters>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2020-08-12T00:30:00Z</cp:lastPrinted>
  <dcterms:created xsi:type="dcterms:W3CDTF">2020-07-29T22:31:00Z</dcterms:created>
  <dcterms:modified xsi:type="dcterms:W3CDTF">2020-08-12T01:51:00Z</dcterms:modified>
</cp:coreProperties>
</file>